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2.xml" ContentType="application/vnd.openxmlformats-officedocument.wordprocessingml.header+xml"/>
  <Override PartName="/word/footer3.xml" ContentType="application/vnd.openxmlformats-officedocument.wordprocessingml.footer+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4FD67" w14:textId="6DC14939" w:rsidR="0018473E" w:rsidRPr="00F635C4" w:rsidRDefault="0018473E">
      <w:pPr>
        <w:jc w:val="both"/>
        <w:rPr>
          <w:rFonts w:ascii="Arial" w:eastAsia="Arial" w:hAnsi="Arial" w:cs="Arial"/>
          <w:sz w:val="22"/>
          <w:szCs w:val="22"/>
        </w:rPr>
      </w:pPr>
      <w:bookmarkStart w:id="0" w:name="_GoBack"/>
      <w:bookmarkEnd w:id="0"/>
    </w:p>
    <w:p w14:paraId="4DBA1D94" w14:textId="39E11DE0" w:rsidR="0018473E" w:rsidRPr="00F635C4" w:rsidRDefault="003A3D09">
      <w:pPr>
        <w:jc w:val="center"/>
        <w:rPr>
          <w:rFonts w:ascii="Arial" w:eastAsia="Arial" w:hAnsi="Arial" w:cs="Arial"/>
          <w:b/>
          <w:sz w:val="22"/>
          <w:szCs w:val="22"/>
        </w:rPr>
      </w:pPr>
      <w:r w:rsidRPr="00F635C4">
        <w:rPr>
          <w:rFonts w:ascii="Arial" w:eastAsia="Arial" w:hAnsi="Arial" w:cs="Arial"/>
          <w:b/>
          <w:sz w:val="22"/>
          <w:szCs w:val="22"/>
        </w:rPr>
        <w:t xml:space="preserve">PONENCIA </w:t>
      </w:r>
      <w:r w:rsidR="00015EA5" w:rsidRPr="00F635C4">
        <w:rPr>
          <w:rFonts w:ascii="Arial" w:eastAsia="Arial" w:hAnsi="Arial" w:cs="Arial"/>
          <w:b/>
          <w:sz w:val="22"/>
          <w:szCs w:val="22"/>
        </w:rPr>
        <w:t>PROYECTO DE ACUERDO No.</w:t>
      </w:r>
      <w:r w:rsidR="00D5772F" w:rsidRPr="00F635C4">
        <w:rPr>
          <w:rFonts w:ascii="Arial" w:eastAsia="Arial" w:hAnsi="Arial" w:cs="Arial"/>
          <w:b/>
          <w:sz w:val="22"/>
          <w:szCs w:val="22"/>
        </w:rPr>
        <w:t xml:space="preserve"> 971</w:t>
      </w:r>
      <w:r w:rsidR="00015EA5" w:rsidRPr="00F635C4">
        <w:rPr>
          <w:rFonts w:ascii="Arial" w:eastAsia="Arial" w:hAnsi="Arial" w:cs="Arial"/>
          <w:b/>
          <w:sz w:val="22"/>
          <w:szCs w:val="22"/>
        </w:rPr>
        <w:t xml:space="preserve"> DE 2025</w:t>
      </w:r>
    </w:p>
    <w:p w14:paraId="780D8357" w14:textId="77777777" w:rsidR="0018473E" w:rsidRPr="00F635C4" w:rsidRDefault="0018473E">
      <w:pPr>
        <w:jc w:val="center"/>
        <w:rPr>
          <w:rFonts w:ascii="Arial" w:eastAsia="Arial" w:hAnsi="Arial" w:cs="Arial"/>
          <w:sz w:val="22"/>
          <w:szCs w:val="22"/>
        </w:rPr>
      </w:pPr>
    </w:p>
    <w:p w14:paraId="397492DF" w14:textId="77777777" w:rsidR="0018473E" w:rsidRPr="00F635C4" w:rsidRDefault="00361DD4">
      <w:pPr>
        <w:jc w:val="center"/>
        <w:rPr>
          <w:rFonts w:ascii="Arial" w:eastAsia="Arial" w:hAnsi="Arial" w:cs="Arial"/>
          <w:b/>
          <w:sz w:val="22"/>
          <w:szCs w:val="22"/>
          <w:shd w:val="clear" w:color="auto" w:fill="FFE599"/>
        </w:rPr>
      </w:pPr>
      <w:r w:rsidRPr="00F635C4">
        <w:rPr>
          <w:rFonts w:ascii="Arial" w:eastAsia="Arial" w:hAnsi="Arial" w:cs="Arial"/>
          <w:b/>
          <w:sz w:val="22"/>
          <w:szCs w:val="22"/>
        </w:rPr>
        <w:t>"POR MEDIO DEL CUAL SE FORMULAN LINEAMIENTOS PARA LA IMPLEMENTACIÓN DE INCENTIVOS PARA ATRAER LA INVERSIÓN, GENERACIÓN DE EMPLEO Y DESARROLLO URBANO EQUITATIVO EN BOGOTÁ Y SE DICTAN OTRAS DISPOSICIONES”</w:t>
      </w:r>
    </w:p>
    <w:p w14:paraId="48334F00" w14:textId="77777777" w:rsidR="0018473E" w:rsidRPr="00F635C4" w:rsidRDefault="0018473E">
      <w:pPr>
        <w:rPr>
          <w:rFonts w:ascii="Arial" w:eastAsia="Arial" w:hAnsi="Arial" w:cs="Arial"/>
          <w:sz w:val="22"/>
          <w:szCs w:val="22"/>
        </w:rPr>
      </w:pPr>
    </w:p>
    <w:p w14:paraId="736A929B" w14:textId="77777777" w:rsidR="0018473E" w:rsidRPr="00F635C4" w:rsidRDefault="0018473E">
      <w:pPr>
        <w:rPr>
          <w:rFonts w:ascii="Arial" w:eastAsia="Arial" w:hAnsi="Arial" w:cs="Arial"/>
          <w:b/>
          <w:sz w:val="22"/>
          <w:szCs w:val="22"/>
        </w:rPr>
      </w:pPr>
    </w:p>
    <w:p w14:paraId="5A873BD1" w14:textId="77777777" w:rsidR="0018473E" w:rsidRPr="00F635C4" w:rsidRDefault="00015EA5">
      <w:pPr>
        <w:jc w:val="center"/>
        <w:rPr>
          <w:rFonts w:ascii="Arial" w:eastAsia="Arial" w:hAnsi="Arial" w:cs="Arial"/>
          <w:b/>
          <w:sz w:val="22"/>
          <w:szCs w:val="22"/>
        </w:rPr>
      </w:pPr>
      <w:r w:rsidRPr="00F635C4">
        <w:rPr>
          <w:rFonts w:ascii="Arial" w:eastAsia="Arial" w:hAnsi="Arial" w:cs="Arial"/>
          <w:b/>
          <w:sz w:val="22"/>
          <w:szCs w:val="22"/>
        </w:rPr>
        <w:t>1. OBJETO DEL PROYECTO</w:t>
      </w:r>
    </w:p>
    <w:p w14:paraId="110EB657" w14:textId="77777777" w:rsidR="0018473E" w:rsidRPr="00F635C4" w:rsidRDefault="0018473E">
      <w:pPr>
        <w:jc w:val="center"/>
        <w:rPr>
          <w:rFonts w:ascii="Arial" w:eastAsia="Arial" w:hAnsi="Arial" w:cs="Arial"/>
          <w:b/>
          <w:sz w:val="22"/>
          <w:szCs w:val="22"/>
        </w:rPr>
      </w:pPr>
    </w:p>
    <w:p w14:paraId="7C75F348" w14:textId="4F8D2970" w:rsidR="0018473E" w:rsidRPr="00F635C4" w:rsidRDefault="00015EA5" w:rsidP="00447943">
      <w:pPr>
        <w:spacing w:line="276" w:lineRule="auto"/>
        <w:jc w:val="both"/>
        <w:rPr>
          <w:rFonts w:ascii="Arial" w:eastAsia="Arial" w:hAnsi="Arial" w:cs="Arial"/>
          <w:sz w:val="22"/>
          <w:szCs w:val="22"/>
        </w:rPr>
      </w:pPr>
      <w:r w:rsidRPr="00F635C4">
        <w:rPr>
          <w:rFonts w:ascii="Arial" w:eastAsia="Arial" w:hAnsi="Arial" w:cs="Arial"/>
          <w:color w:val="000000"/>
          <w:sz w:val="22"/>
          <w:szCs w:val="22"/>
        </w:rPr>
        <w:t>Este proyecto de acuerdo tiene como propósito establecer lineamientos para la implementación de incentivos tributarios orientados a atraer inversión, dinamizar el crecimiento económico y promover la generación de empleo. Para ello, se contemplan: exenciones en el impuesto predial para los propietarios que aporten sus inmuebles a proyectos de vivienda en áreas de renovación urbana y decidan permanecer en el mismo proyecto, exenciones en el impuesto predial para la operación de proyectos de arrendamiento especializado que contribuyan a la formalización del mercado, y, descuentos en el impuesto de delineación urbana aplicables a proyectos de vivienda social, con el fin de potenciar su oferta en las zonas centrales de la ciudad.</w:t>
      </w:r>
    </w:p>
    <w:p w14:paraId="119EAC20" w14:textId="77777777" w:rsidR="00447943" w:rsidRPr="00F635C4" w:rsidRDefault="00447943">
      <w:pPr>
        <w:rPr>
          <w:rFonts w:ascii="Arial" w:eastAsia="Arial" w:hAnsi="Arial" w:cs="Arial"/>
          <w:b/>
          <w:sz w:val="22"/>
          <w:szCs w:val="22"/>
        </w:rPr>
      </w:pPr>
    </w:p>
    <w:p w14:paraId="0F3DFC61" w14:textId="1C836AF2" w:rsidR="0018473E" w:rsidRPr="00F635C4" w:rsidRDefault="00015EA5">
      <w:pPr>
        <w:spacing w:after="160" w:line="259" w:lineRule="auto"/>
        <w:jc w:val="center"/>
        <w:rPr>
          <w:rFonts w:ascii="Arial" w:eastAsia="Arial" w:hAnsi="Arial" w:cs="Arial"/>
          <w:b/>
          <w:sz w:val="22"/>
          <w:szCs w:val="22"/>
        </w:rPr>
      </w:pPr>
      <w:r w:rsidRPr="00F635C4">
        <w:rPr>
          <w:rFonts w:ascii="Arial" w:eastAsia="Arial" w:hAnsi="Arial" w:cs="Arial"/>
          <w:b/>
          <w:sz w:val="22"/>
          <w:szCs w:val="22"/>
        </w:rPr>
        <w:t>2. EXPOSICIÓN DE MOTIVOS</w:t>
      </w:r>
      <w:r w:rsidR="00913617" w:rsidRPr="00F635C4">
        <w:rPr>
          <w:rFonts w:ascii="Arial" w:eastAsia="Arial" w:hAnsi="Arial" w:cs="Arial"/>
          <w:b/>
          <w:sz w:val="22"/>
          <w:szCs w:val="22"/>
        </w:rPr>
        <w:t xml:space="preserve"> DE LA AUTORA PARA PRESENTAR EL PROYECTO DE </w:t>
      </w:r>
      <w:r w:rsidR="00410A1D" w:rsidRPr="00F635C4">
        <w:rPr>
          <w:rFonts w:ascii="Arial" w:eastAsia="Arial" w:hAnsi="Arial" w:cs="Arial"/>
          <w:b/>
          <w:sz w:val="22"/>
          <w:szCs w:val="22"/>
        </w:rPr>
        <w:t>A</w:t>
      </w:r>
      <w:r w:rsidR="00913617" w:rsidRPr="00F635C4">
        <w:rPr>
          <w:rFonts w:ascii="Arial" w:eastAsia="Arial" w:hAnsi="Arial" w:cs="Arial"/>
          <w:b/>
          <w:sz w:val="22"/>
          <w:szCs w:val="22"/>
        </w:rPr>
        <w:t>CUERDO</w:t>
      </w:r>
      <w:r w:rsidRPr="00F635C4">
        <w:rPr>
          <w:rFonts w:ascii="Arial" w:eastAsia="Arial" w:hAnsi="Arial" w:cs="Arial"/>
          <w:b/>
          <w:sz w:val="22"/>
          <w:szCs w:val="22"/>
        </w:rPr>
        <w:t xml:space="preserve"> </w:t>
      </w:r>
    </w:p>
    <w:p w14:paraId="52E41232" w14:textId="757B8FD7" w:rsidR="0018473E" w:rsidRPr="00F635C4" w:rsidRDefault="003905F5" w:rsidP="00447943">
      <w:pPr>
        <w:spacing w:after="160" w:line="276" w:lineRule="auto"/>
        <w:jc w:val="both"/>
        <w:rPr>
          <w:rFonts w:ascii="Arial" w:eastAsia="Arial" w:hAnsi="Arial" w:cs="Arial"/>
          <w:b/>
          <w:sz w:val="22"/>
          <w:szCs w:val="22"/>
        </w:rPr>
      </w:pPr>
      <w:r w:rsidRPr="00F635C4">
        <w:rPr>
          <w:rFonts w:ascii="Arial" w:eastAsia="Arial" w:hAnsi="Arial" w:cs="Arial"/>
          <w:sz w:val="22"/>
          <w:szCs w:val="22"/>
        </w:rPr>
        <w:t>La autora del Proyecto de Acuerdo, la concejala Sandra Forero Ramírez sostiene que, aunque la construcción y las actividades inmobiliarias tienen un papel clave en la economía de Bogotá, su participación en el PIB ha caído de forma importante entre 2005 y 2024. La construcción de edificaciones pasó de 5,9 % a 3,9 %, las actividades inmobiliarias de 17,7 % a 12,7 % y las actividades especializadas de 10 % a 5 %. Esto muestra una pérdida de dinamismo en un sector que, por cada peso invertido, genera un efecto multiplicador de 2,2 veces en la economía y crea empleos adicionales en industria, comercio, transporte, minería y otros sectores.</w:t>
      </w:r>
    </w:p>
    <w:p w14:paraId="129AF57D" w14:textId="204A295D" w:rsidR="0018473E" w:rsidRPr="00F635C4" w:rsidRDefault="00015EA5">
      <w:pPr>
        <w:spacing w:after="160" w:line="259" w:lineRule="auto"/>
        <w:jc w:val="both"/>
        <w:rPr>
          <w:rFonts w:ascii="Arial" w:eastAsia="Arial" w:hAnsi="Arial" w:cs="Arial"/>
          <w:b/>
          <w:sz w:val="22"/>
          <w:szCs w:val="22"/>
        </w:rPr>
      </w:pPr>
      <w:r w:rsidRPr="00F635C4">
        <w:rPr>
          <w:rFonts w:ascii="Arial" w:eastAsia="Arial" w:hAnsi="Arial" w:cs="Arial"/>
          <w:b/>
          <w:sz w:val="22"/>
          <w:szCs w:val="22"/>
        </w:rPr>
        <w:t>2.1. IMPULSAR LA INVERSIÓN, EL CRECIMIENTO ECONÓMICO Y EL EMPLEO, A</w:t>
      </w:r>
      <w:r w:rsidR="003B100C" w:rsidRPr="00F635C4">
        <w:rPr>
          <w:rFonts w:ascii="Arial" w:eastAsia="Arial" w:hAnsi="Arial" w:cs="Arial"/>
          <w:b/>
          <w:sz w:val="22"/>
          <w:szCs w:val="22"/>
        </w:rPr>
        <w:t xml:space="preserve"> </w:t>
      </w:r>
      <w:r w:rsidRPr="00F635C4">
        <w:rPr>
          <w:rFonts w:ascii="Arial" w:eastAsia="Arial" w:hAnsi="Arial" w:cs="Arial"/>
          <w:b/>
          <w:sz w:val="22"/>
          <w:szCs w:val="22"/>
        </w:rPr>
        <w:t>PARTIR DE PROYECTOS DE RENOVACIÓN URBANA</w:t>
      </w:r>
    </w:p>
    <w:p w14:paraId="5DC87069" w14:textId="77777777"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2.1.1. DIAGNÓSTICO</w:t>
      </w:r>
    </w:p>
    <w:p w14:paraId="6D8D483B" w14:textId="77777777" w:rsidR="0018473E" w:rsidRPr="00F635C4" w:rsidRDefault="0018473E">
      <w:pPr>
        <w:jc w:val="both"/>
        <w:rPr>
          <w:rFonts w:ascii="Arial" w:eastAsia="Arial" w:hAnsi="Arial" w:cs="Arial"/>
          <w:sz w:val="22"/>
          <w:szCs w:val="22"/>
        </w:rPr>
      </w:pPr>
    </w:p>
    <w:p w14:paraId="0C2C1281" w14:textId="70158FFB" w:rsidR="0018473E" w:rsidRPr="00F635C4" w:rsidRDefault="00A30C0B">
      <w:pPr>
        <w:jc w:val="both"/>
        <w:rPr>
          <w:rFonts w:ascii="Arial" w:eastAsia="Arial" w:hAnsi="Arial" w:cs="Arial"/>
          <w:sz w:val="22"/>
          <w:szCs w:val="22"/>
        </w:rPr>
      </w:pPr>
      <w:r w:rsidRPr="00F635C4">
        <w:rPr>
          <w:rFonts w:ascii="Arial" w:eastAsia="Arial" w:hAnsi="Arial" w:cs="Arial"/>
          <w:sz w:val="22"/>
          <w:szCs w:val="22"/>
        </w:rPr>
        <w:t>El tratamiento de renovación urbana en Bogotá, definido en el POT 555 de 2021 para transformar áreas consolidadas y promover vivienda, ha tenido una implementación limitada debido a obstáculos financieros y de gestión. Si bien el POT amplió el suelo para renovación del 6,1 % al 21 %, las cargas urbanísticas se incrementaron notablemente (hasta el 60 % en proyectos de mayor edificabilidad), lo cual, junto con la dificultad de la gestión predial y la falta de incentivos para los propietarios, ha impedido el cierre financiero de muchos proyectos. Como resultado, entre 2008 y 2023, solo un 5.6 % de las licencias de vivienda nueva, un promedio de 1.735 unidades anuales, se desarrollaron bajo este tratamiento, demostrando su escaso dinamismo en la ciudad. (gráfico 1)</w:t>
      </w:r>
    </w:p>
    <w:p w14:paraId="06417FFB" w14:textId="77777777" w:rsidR="00AD01FC" w:rsidRPr="00F635C4" w:rsidRDefault="00AD01FC">
      <w:pPr>
        <w:jc w:val="both"/>
        <w:rPr>
          <w:rFonts w:ascii="Arial" w:eastAsia="Arial" w:hAnsi="Arial" w:cs="Arial"/>
          <w:sz w:val="22"/>
          <w:szCs w:val="22"/>
        </w:rPr>
      </w:pPr>
    </w:p>
    <w:p w14:paraId="11CEA67F" w14:textId="77777777" w:rsidR="0018473E" w:rsidRPr="00F635C4" w:rsidRDefault="00015EA5">
      <w:pPr>
        <w:jc w:val="center"/>
        <w:rPr>
          <w:rFonts w:ascii="Arial" w:eastAsia="Arial" w:hAnsi="Arial" w:cs="Arial"/>
          <w:sz w:val="22"/>
          <w:szCs w:val="22"/>
        </w:rPr>
      </w:pPr>
      <w:r w:rsidRPr="00F635C4">
        <w:rPr>
          <w:rFonts w:ascii="Arial" w:eastAsia="Arial" w:hAnsi="Arial" w:cs="Arial"/>
          <w:b/>
          <w:sz w:val="22"/>
          <w:szCs w:val="22"/>
        </w:rPr>
        <w:lastRenderedPageBreak/>
        <w:t>Gráfico 1. Viviendas nuevas licenciadas en tratamiento de renovación urbana en Bogotá (2008-2023</w:t>
      </w:r>
    </w:p>
    <w:p w14:paraId="3FD6227D" w14:textId="77777777" w:rsidR="0018473E" w:rsidRPr="00F635C4" w:rsidRDefault="0018473E">
      <w:pPr>
        <w:jc w:val="both"/>
        <w:rPr>
          <w:rFonts w:ascii="Arial" w:eastAsia="Arial" w:hAnsi="Arial" w:cs="Arial"/>
          <w:sz w:val="22"/>
          <w:szCs w:val="22"/>
        </w:rPr>
      </w:pPr>
    </w:p>
    <w:p w14:paraId="14F5F2C6" w14:textId="77777777" w:rsidR="0018473E" w:rsidRPr="00F635C4" w:rsidRDefault="00015EA5">
      <w:pPr>
        <w:rPr>
          <w:rFonts w:ascii="Arial" w:eastAsia="Arial" w:hAnsi="Arial" w:cs="Arial"/>
          <w:sz w:val="22"/>
          <w:szCs w:val="22"/>
        </w:rPr>
      </w:pPr>
      <w:r w:rsidRPr="00F635C4">
        <w:rPr>
          <w:rFonts w:ascii="Arial" w:eastAsia="Arial" w:hAnsi="Arial" w:cs="Arial"/>
          <w:sz w:val="22"/>
          <w:szCs w:val="22"/>
        </w:rPr>
        <w:t xml:space="preserve"> </w:t>
      </w:r>
      <w:r w:rsidRPr="00F635C4">
        <w:rPr>
          <w:rFonts w:ascii="Arial" w:eastAsia="Arial" w:hAnsi="Arial" w:cs="Arial"/>
          <w:sz w:val="22"/>
          <w:szCs w:val="22"/>
        </w:rPr>
        <w:tab/>
      </w:r>
      <w:r w:rsidRPr="00F635C4">
        <w:rPr>
          <w:rFonts w:ascii="Arial" w:eastAsia="Arial" w:hAnsi="Arial" w:cs="Arial"/>
          <w:sz w:val="22"/>
          <w:szCs w:val="22"/>
        </w:rPr>
        <w:tab/>
      </w:r>
    </w:p>
    <w:p w14:paraId="3A6F55D8" w14:textId="77777777" w:rsidR="0018473E" w:rsidRPr="00F635C4" w:rsidRDefault="00015EA5">
      <w:pPr>
        <w:ind w:firstLine="720"/>
        <w:rPr>
          <w:rFonts w:ascii="Arial" w:eastAsia="Arial" w:hAnsi="Arial" w:cs="Arial"/>
          <w:sz w:val="22"/>
          <w:szCs w:val="22"/>
        </w:rPr>
      </w:pPr>
      <w:r w:rsidRPr="00F635C4">
        <w:rPr>
          <w:rFonts w:ascii="Arial" w:eastAsia="Arial" w:hAnsi="Arial" w:cs="Arial"/>
          <w:i/>
          <w:sz w:val="22"/>
          <w:szCs w:val="22"/>
        </w:rPr>
        <w:t>Panel 1. Participación sobre el total</w:t>
      </w:r>
      <w:r w:rsidRPr="00F635C4">
        <w:rPr>
          <w:rFonts w:ascii="Arial" w:eastAsia="Arial" w:hAnsi="Arial" w:cs="Arial"/>
          <w:i/>
          <w:sz w:val="22"/>
          <w:szCs w:val="22"/>
        </w:rPr>
        <w:tab/>
      </w:r>
      <w:r w:rsidRPr="00F635C4">
        <w:rPr>
          <w:rFonts w:ascii="Arial" w:eastAsia="Arial" w:hAnsi="Arial" w:cs="Arial"/>
          <w:i/>
          <w:sz w:val="22"/>
          <w:szCs w:val="22"/>
        </w:rPr>
        <w:tab/>
      </w:r>
      <w:r w:rsidRPr="00F635C4">
        <w:rPr>
          <w:rFonts w:ascii="Arial" w:eastAsia="Arial" w:hAnsi="Arial" w:cs="Arial"/>
          <w:i/>
          <w:sz w:val="22"/>
          <w:szCs w:val="22"/>
        </w:rPr>
        <w:tab/>
      </w:r>
      <w:r w:rsidRPr="00F635C4">
        <w:rPr>
          <w:rFonts w:ascii="Arial" w:eastAsia="Arial" w:hAnsi="Arial" w:cs="Arial"/>
          <w:i/>
          <w:sz w:val="22"/>
          <w:szCs w:val="22"/>
        </w:rPr>
        <w:tab/>
        <w:t>Panel 2. Unidades</w:t>
      </w:r>
    </w:p>
    <w:p w14:paraId="5C3D16FC" w14:textId="77777777" w:rsidR="0018473E" w:rsidRPr="00F635C4" w:rsidRDefault="0018473E">
      <w:pPr>
        <w:ind w:firstLine="720"/>
        <w:rPr>
          <w:rFonts w:ascii="Arial" w:eastAsia="Arial" w:hAnsi="Arial" w:cs="Arial"/>
          <w:i/>
          <w:sz w:val="22"/>
          <w:szCs w:val="22"/>
        </w:rPr>
      </w:pPr>
    </w:p>
    <w:p w14:paraId="2EA7A162" w14:textId="77777777" w:rsidR="0018473E" w:rsidRPr="00F635C4" w:rsidRDefault="00015EA5">
      <w:pPr>
        <w:jc w:val="both"/>
        <w:rPr>
          <w:rFonts w:ascii="Arial" w:eastAsia="Arial" w:hAnsi="Arial" w:cs="Arial"/>
          <w:sz w:val="22"/>
          <w:szCs w:val="22"/>
        </w:rPr>
      </w:pPr>
      <w:r w:rsidRPr="00F635C4">
        <w:rPr>
          <w:rFonts w:ascii="Arial" w:eastAsia="Arial" w:hAnsi="Arial" w:cs="Arial"/>
          <w:sz w:val="22"/>
          <w:szCs w:val="22"/>
        </w:rPr>
        <w:tab/>
      </w:r>
      <w:r w:rsidRPr="00F635C4">
        <w:rPr>
          <w:rFonts w:ascii="Arial" w:eastAsia="Arial" w:hAnsi="Arial" w:cs="Arial"/>
          <w:sz w:val="22"/>
          <w:szCs w:val="22"/>
        </w:rPr>
        <w:tab/>
      </w:r>
      <w:r w:rsidRPr="00F635C4">
        <w:rPr>
          <w:rFonts w:ascii="Arial" w:eastAsia="Arial" w:hAnsi="Arial" w:cs="Arial"/>
          <w:sz w:val="22"/>
          <w:szCs w:val="22"/>
        </w:rPr>
        <w:tab/>
      </w:r>
      <w:r w:rsidRPr="00F635C4">
        <w:rPr>
          <w:rFonts w:ascii="Arial" w:eastAsia="Arial" w:hAnsi="Arial" w:cs="Arial"/>
          <w:sz w:val="22"/>
          <w:szCs w:val="22"/>
        </w:rPr>
        <w:tab/>
      </w:r>
      <w:r w:rsidRPr="00F635C4">
        <w:rPr>
          <w:rFonts w:ascii="Arial" w:eastAsia="Arial" w:hAnsi="Arial" w:cs="Arial"/>
          <w:sz w:val="22"/>
          <w:szCs w:val="22"/>
        </w:rPr>
        <w:tab/>
      </w:r>
      <w:r w:rsidRPr="00F635C4">
        <w:rPr>
          <w:rFonts w:ascii="Arial" w:eastAsia="Arial" w:hAnsi="Arial" w:cs="Arial"/>
          <w:sz w:val="22"/>
          <w:szCs w:val="22"/>
        </w:rPr>
        <w:tab/>
      </w:r>
      <w:r w:rsidRPr="00F635C4">
        <w:rPr>
          <w:rFonts w:ascii="Arial" w:hAnsi="Arial" w:cs="Arial"/>
          <w:noProof/>
        </w:rPr>
        <w:drawing>
          <wp:anchor distT="0" distB="0" distL="114300" distR="114300" simplePos="0" relativeHeight="251658240" behindDoc="0" locked="0" layoutInCell="1" hidden="0" allowOverlap="1" wp14:anchorId="0E458F86" wp14:editId="1D9FC067">
            <wp:simplePos x="0" y="0"/>
            <wp:positionH relativeFrom="column">
              <wp:posOffset>244503</wp:posOffset>
            </wp:positionH>
            <wp:positionV relativeFrom="paragraph">
              <wp:posOffset>68028</wp:posOffset>
            </wp:positionV>
            <wp:extent cx="2752725" cy="2438400"/>
            <wp:effectExtent l="0" t="0" r="0" b="0"/>
            <wp:wrapSquare wrapText="bothSides" distT="0" distB="0" distL="114300" distR="114300"/>
            <wp:docPr id="1987837076" name="Gráfico 198783707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Pr="00F635C4">
        <w:rPr>
          <w:rFonts w:ascii="Arial" w:hAnsi="Arial" w:cs="Arial"/>
          <w:noProof/>
        </w:rPr>
        <w:drawing>
          <wp:anchor distT="0" distB="0" distL="114300" distR="114300" simplePos="0" relativeHeight="251659264" behindDoc="0" locked="0" layoutInCell="1" hidden="0" allowOverlap="1" wp14:anchorId="14A4F627" wp14:editId="1783FBA1">
            <wp:simplePos x="0" y="0"/>
            <wp:positionH relativeFrom="column">
              <wp:posOffset>3337560</wp:posOffset>
            </wp:positionH>
            <wp:positionV relativeFrom="paragraph">
              <wp:posOffset>3810</wp:posOffset>
            </wp:positionV>
            <wp:extent cx="2687320" cy="2512060"/>
            <wp:effectExtent l="0" t="0" r="0" b="0"/>
            <wp:wrapSquare wrapText="bothSides" distT="0" distB="0" distL="114300" distR="114300"/>
            <wp:docPr id="1987837082" name="Gráfico 198783708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14:paraId="6FE6EC4A" w14:textId="77777777" w:rsidR="0018473E" w:rsidRPr="00F635C4" w:rsidRDefault="0018473E">
      <w:pPr>
        <w:jc w:val="both"/>
        <w:rPr>
          <w:rFonts w:ascii="Arial" w:eastAsia="Arial" w:hAnsi="Arial" w:cs="Arial"/>
          <w:sz w:val="22"/>
          <w:szCs w:val="22"/>
        </w:rPr>
      </w:pPr>
    </w:p>
    <w:p w14:paraId="0903BBDC" w14:textId="77777777" w:rsidR="0018473E" w:rsidRPr="00F635C4" w:rsidRDefault="0018473E">
      <w:pPr>
        <w:rPr>
          <w:rFonts w:ascii="Arial" w:eastAsia="Arial" w:hAnsi="Arial" w:cs="Arial"/>
          <w:sz w:val="22"/>
          <w:szCs w:val="22"/>
        </w:rPr>
      </w:pPr>
    </w:p>
    <w:p w14:paraId="6F4AACD4" w14:textId="77777777" w:rsidR="0018473E" w:rsidRPr="00F635C4" w:rsidRDefault="0018473E">
      <w:pPr>
        <w:rPr>
          <w:rFonts w:ascii="Arial" w:eastAsia="Arial" w:hAnsi="Arial" w:cs="Arial"/>
          <w:sz w:val="22"/>
          <w:szCs w:val="22"/>
        </w:rPr>
      </w:pPr>
    </w:p>
    <w:p w14:paraId="1ED52CEA" w14:textId="77777777" w:rsidR="0018473E" w:rsidRPr="00F635C4" w:rsidRDefault="0018473E">
      <w:pPr>
        <w:rPr>
          <w:rFonts w:ascii="Arial" w:eastAsia="Arial" w:hAnsi="Arial" w:cs="Arial"/>
          <w:sz w:val="22"/>
          <w:szCs w:val="22"/>
        </w:rPr>
      </w:pPr>
    </w:p>
    <w:p w14:paraId="7328D60F" w14:textId="77777777" w:rsidR="0018473E" w:rsidRPr="00F635C4" w:rsidRDefault="0018473E">
      <w:pPr>
        <w:rPr>
          <w:rFonts w:ascii="Arial" w:eastAsia="Arial" w:hAnsi="Arial" w:cs="Arial"/>
          <w:sz w:val="22"/>
          <w:szCs w:val="22"/>
        </w:rPr>
      </w:pPr>
    </w:p>
    <w:p w14:paraId="00A9017A" w14:textId="77777777" w:rsidR="0018473E" w:rsidRPr="00F635C4" w:rsidRDefault="0018473E">
      <w:pPr>
        <w:rPr>
          <w:rFonts w:ascii="Arial" w:eastAsia="Arial" w:hAnsi="Arial" w:cs="Arial"/>
          <w:sz w:val="22"/>
          <w:szCs w:val="22"/>
        </w:rPr>
      </w:pPr>
    </w:p>
    <w:p w14:paraId="6EAA5AE4" w14:textId="77777777" w:rsidR="0018473E" w:rsidRPr="00F635C4" w:rsidRDefault="0018473E">
      <w:pPr>
        <w:rPr>
          <w:rFonts w:ascii="Arial" w:eastAsia="Arial" w:hAnsi="Arial" w:cs="Arial"/>
          <w:sz w:val="22"/>
          <w:szCs w:val="22"/>
        </w:rPr>
      </w:pPr>
    </w:p>
    <w:p w14:paraId="186DD82A" w14:textId="77777777" w:rsidR="0018473E" w:rsidRPr="00F635C4" w:rsidRDefault="0018473E">
      <w:pPr>
        <w:rPr>
          <w:rFonts w:ascii="Arial" w:eastAsia="Arial" w:hAnsi="Arial" w:cs="Arial"/>
          <w:sz w:val="22"/>
          <w:szCs w:val="22"/>
        </w:rPr>
      </w:pPr>
    </w:p>
    <w:p w14:paraId="490A8186" w14:textId="77777777" w:rsidR="0018473E" w:rsidRPr="00F635C4" w:rsidRDefault="0018473E">
      <w:pPr>
        <w:rPr>
          <w:rFonts w:ascii="Arial" w:eastAsia="Arial" w:hAnsi="Arial" w:cs="Arial"/>
          <w:sz w:val="22"/>
          <w:szCs w:val="22"/>
        </w:rPr>
      </w:pPr>
    </w:p>
    <w:p w14:paraId="3317C959" w14:textId="77777777" w:rsidR="0018473E" w:rsidRPr="00F635C4" w:rsidRDefault="0018473E">
      <w:pPr>
        <w:rPr>
          <w:rFonts w:ascii="Arial" w:eastAsia="Arial" w:hAnsi="Arial" w:cs="Arial"/>
          <w:sz w:val="22"/>
          <w:szCs w:val="22"/>
        </w:rPr>
      </w:pPr>
    </w:p>
    <w:p w14:paraId="079E0752" w14:textId="00C2880C" w:rsidR="0018473E" w:rsidRPr="00F635C4" w:rsidRDefault="00015EA5" w:rsidP="00AD01FC">
      <w:pPr>
        <w:jc w:val="center"/>
        <w:rPr>
          <w:rFonts w:ascii="Arial" w:eastAsia="Arial" w:hAnsi="Arial" w:cs="Arial"/>
          <w:sz w:val="18"/>
          <w:szCs w:val="18"/>
        </w:rPr>
        <w:sectPr w:rsidR="0018473E" w:rsidRPr="00F635C4" w:rsidSect="003905F5">
          <w:headerReference w:type="default" r:id="rId11"/>
          <w:footerReference w:type="even" r:id="rId12"/>
          <w:footerReference w:type="default" r:id="rId13"/>
          <w:pgSz w:w="12240" w:h="15840"/>
          <w:pgMar w:top="1440" w:right="1080" w:bottom="1440" w:left="1080" w:header="708" w:footer="708" w:gutter="0"/>
          <w:pgNumType w:start="1"/>
          <w:cols w:space="720"/>
        </w:sectPr>
      </w:pPr>
      <w:r w:rsidRPr="00F635C4">
        <w:rPr>
          <w:rFonts w:ascii="Arial" w:eastAsia="Arial" w:hAnsi="Arial" w:cs="Arial"/>
          <w:sz w:val="18"/>
          <w:szCs w:val="18"/>
        </w:rPr>
        <w:t>Fuente: Elaboración propia con base en la Secretaría Distrital de Planeación</w:t>
      </w:r>
    </w:p>
    <w:p w14:paraId="6DBFA6D5" w14:textId="10E519BA" w:rsidR="000079DA" w:rsidRPr="00F635C4" w:rsidRDefault="00AD01FC" w:rsidP="000079DA">
      <w:pPr>
        <w:jc w:val="both"/>
        <w:rPr>
          <w:rFonts w:ascii="Arial" w:eastAsia="Arial" w:hAnsi="Arial" w:cs="Arial"/>
          <w:sz w:val="22"/>
          <w:szCs w:val="22"/>
        </w:rPr>
      </w:pPr>
      <w:r w:rsidRPr="00F635C4">
        <w:rPr>
          <w:rFonts w:ascii="Arial" w:eastAsia="Arial" w:hAnsi="Arial" w:cs="Arial"/>
          <w:sz w:val="22"/>
          <w:szCs w:val="22"/>
        </w:rPr>
        <w:lastRenderedPageBreak/>
        <w:t>Para la autora, l</w:t>
      </w:r>
      <w:r w:rsidR="002D72D4" w:rsidRPr="00F635C4">
        <w:rPr>
          <w:rFonts w:ascii="Arial" w:eastAsia="Arial" w:hAnsi="Arial" w:cs="Arial"/>
          <w:sz w:val="22"/>
          <w:szCs w:val="22"/>
        </w:rPr>
        <w:t>a baja ejecución del tratamiento de renovación urbana en Bogotá está generando múltiples efectos negativos, pues frena el uso eficiente del suelo y limita la creación de vivienda formal, edificaciones sostenibles, parques y equipamientos, lo cual agrava el alto costo de vida en la ciudad. Este bajo dinamismo, evidenciado por el escaso licenciamiento de solo 4.827 viviendas entre 2023 y el primer semestre de 2024 (frente a la meta anual de 32.900 para el Plan de Hábitat 2023-2035), no solo pone en riesgo las metas de déficit habitacional, sino que también reduce el potencial de recaudo tributario y debilita el vital efecto multiplicador de la construcción en la generación de empleo. Adicionalmente, la inacción en este frente incrementa el riesgo de gentrificación, un impacto que la ciudad busca mitigar mediante medidas específicas de protección a moradores y actividades productivas establecidas en el Decreto 563 de 2023.</w:t>
      </w:r>
    </w:p>
    <w:p w14:paraId="2B18B9CF" w14:textId="77777777" w:rsidR="002D72D4" w:rsidRPr="00F635C4" w:rsidRDefault="002D72D4" w:rsidP="000079DA">
      <w:pPr>
        <w:jc w:val="both"/>
        <w:rPr>
          <w:rFonts w:ascii="Arial" w:eastAsia="Arial" w:hAnsi="Arial" w:cs="Arial"/>
          <w:sz w:val="22"/>
          <w:szCs w:val="22"/>
        </w:rPr>
      </w:pPr>
    </w:p>
    <w:p w14:paraId="5BD38E3C" w14:textId="260F5275" w:rsidR="0018473E" w:rsidRPr="00F635C4" w:rsidRDefault="00015EA5" w:rsidP="000079DA">
      <w:pPr>
        <w:jc w:val="both"/>
        <w:rPr>
          <w:rFonts w:ascii="Arial" w:eastAsia="Arial" w:hAnsi="Arial" w:cs="Arial"/>
          <w:b/>
          <w:sz w:val="22"/>
          <w:szCs w:val="22"/>
        </w:rPr>
      </w:pPr>
      <w:r w:rsidRPr="00F635C4">
        <w:rPr>
          <w:rFonts w:ascii="Arial" w:eastAsia="Arial" w:hAnsi="Arial" w:cs="Arial"/>
          <w:b/>
          <w:sz w:val="22"/>
          <w:szCs w:val="22"/>
        </w:rPr>
        <w:t>2.1.2. PROPUESTA</w:t>
      </w:r>
      <w:r w:rsidR="000079DA" w:rsidRPr="00F635C4">
        <w:rPr>
          <w:rFonts w:ascii="Arial" w:eastAsia="Arial" w:hAnsi="Arial" w:cs="Arial"/>
          <w:b/>
          <w:sz w:val="22"/>
          <w:szCs w:val="22"/>
        </w:rPr>
        <w:t xml:space="preserve"> REALIZADA POR LA AUTORA</w:t>
      </w:r>
    </w:p>
    <w:p w14:paraId="5E046D56" w14:textId="77777777" w:rsidR="0018473E" w:rsidRPr="00F635C4" w:rsidRDefault="0018473E">
      <w:pPr>
        <w:jc w:val="both"/>
        <w:rPr>
          <w:rFonts w:ascii="Arial" w:eastAsia="Arial" w:hAnsi="Arial" w:cs="Arial"/>
          <w:b/>
          <w:sz w:val="22"/>
          <w:szCs w:val="22"/>
        </w:rPr>
      </w:pPr>
    </w:p>
    <w:p w14:paraId="5D6DE82A" w14:textId="7F96BED8" w:rsidR="0018473E" w:rsidRPr="00F635C4" w:rsidRDefault="002D72D4">
      <w:pPr>
        <w:jc w:val="both"/>
        <w:rPr>
          <w:rFonts w:ascii="Arial" w:eastAsia="Arial" w:hAnsi="Arial" w:cs="Arial"/>
          <w:sz w:val="22"/>
          <w:szCs w:val="22"/>
        </w:rPr>
      </w:pPr>
      <w:r w:rsidRPr="00F635C4">
        <w:rPr>
          <w:rFonts w:ascii="Arial" w:eastAsia="Arial" w:hAnsi="Arial" w:cs="Arial"/>
          <w:sz w:val="22"/>
          <w:szCs w:val="22"/>
        </w:rPr>
        <w:t>El proyecto de acuerdo propone otorgar un descuento en el impuesto predial a los propietarios que aporten sus inmuebles como suelo para el desarrollo de proyectos de vivienda en las áreas delimitadas de Renovación Urbana (6.905,8 hectáreas del Decreto 555 de 2021) o en Proyectos de Renovación Urbana para la Movilidad Sostenible (PRUMS).</w:t>
      </w:r>
    </w:p>
    <w:p w14:paraId="5524529D" w14:textId="6D822B79" w:rsidR="002D72D4" w:rsidRPr="00F635C4" w:rsidRDefault="002D72D4">
      <w:pPr>
        <w:jc w:val="both"/>
        <w:rPr>
          <w:rFonts w:ascii="Arial" w:eastAsia="Arial" w:hAnsi="Arial" w:cs="Arial"/>
          <w:sz w:val="22"/>
          <w:szCs w:val="22"/>
        </w:rPr>
      </w:pPr>
    </w:p>
    <w:p w14:paraId="35CAA403" w14:textId="7048EE3E" w:rsidR="002D72D4" w:rsidRPr="00F635C4" w:rsidRDefault="002D72D4">
      <w:pPr>
        <w:jc w:val="both"/>
        <w:rPr>
          <w:rFonts w:ascii="Arial" w:eastAsia="Arial" w:hAnsi="Arial" w:cs="Arial"/>
          <w:sz w:val="22"/>
          <w:szCs w:val="22"/>
        </w:rPr>
      </w:pPr>
      <w:r w:rsidRPr="00F635C4">
        <w:rPr>
          <w:rFonts w:ascii="Arial" w:eastAsia="Arial" w:hAnsi="Arial" w:cs="Arial"/>
          <w:sz w:val="22"/>
          <w:szCs w:val="22"/>
        </w:rPr>
        <w:t>El objetivo central es fortalecer la autonomía financiera</w:t>
      </w:r>
      <w:r w:rsidR="00515EBA" w:rsidRPr="00F635C4">
        <w:rPr>
          <w:rFonts w:ascii="Arial" w:eastAsia="Arial" w:hAnsi="Arial" w:cs="Arial"/>
          <w:sz w:val="22"/>
          <w:szCs w:val="22"/>
        </w:rPr>
        <w:t xml:space="preserve"> territorial</w:t>
      </w:r>
      <w:r w:rsidRPr="00F635C4">
        <w:rPr>
          <w:rFonts w:ascii="Arial" w:eastAsia="Arial" w:hAnsi="Arial" w:cs="Arial"/>
          <w:sz w:val="22"/>
          <w:szCs w:val="22"/>
        </w:rPr>
        <w:t>, optimizar el recaudo e impulsar el crecimiento económico y la generación de empleo mediante la detonación de la construcción, facilitando la gestión predial y evitando la gentrificación al incluir a los propietarios originales.</w:t>
      </w:r>
    </w:p>
    <w:p w14:paraId="16C9E591" w14:textId="5A78B2A2" w:rsidR="002D72D4" w:rsidRPr="00F635C4" w:rsidRDefault="002D72D4">
      <w:pPr>
        <w:jc w:val="both"/>
        <w:rPr>
          <w:rFonts w:ascii="Arial" w:eastAsia="Arial" w:hAnsi="Arial" w:cs="Arial"/>
          <w:sz w:val="22"/>
          <w:szCs w:val="22"/>
        </w:rPr>
      </w:pPr>
    </w:p>
    <w:p w14:paraId="35049C74" w14:textId="5434B718" w:rsidR="0018473E" w:rsidRPr="00F635C4" w:rsidRDefault="002D72D4">
      <w:pPr>
        <w:jc w:val="both"/>
        <w:rPr>
          <w:rFonts w:ascii="Arial" w:eastAsia="Arial" w:hAnsi="Arial" w:cs="Arial"/>
          <w:sz w:val="22"/>
          <w:szCs w:val="22"/>
        </w:rPr>
      </w:pPr>
      <w:r w:rsidRPr="00F635C4">
        <w:rPr>
          <w:rFonts w:ascii="Arial" w:eastAsia="Arial" w:hAnsi="Arial" w:cs="Arial"/>
          <w:sz w:val="22"/>
          <w:szCs w:val="22"/>
        </w:rPr>
        <w:t>El beneficio tributario propuesto consiste en un descuento total del 100% del impuesto predial durante los primeros cinco años de vigencia del proyecto, seguido por una fase de decrecimiento progresivo durante los siguientes cinco años, aplicando porcentajes de reducción del 80%, 60%, 40%, 20% y 10%, respectivamente. Este descuento tendrá una duración total de diez años y se aplicará específicamente sobre las unidades de vivienda resultantes que queden en propiedad de los aportantes de suelo (incluyendo sucesiones), contándose este periodo a partir de la generación de las matrículas inmobiliarias, y ajustándose su crecimiento anual según la normativa vigente.</w:t>
      </w:r>
    </w:p>
    <w:p w14:paraId="0CF2EBA8" w14:textId="77777777" w:rsidR="0018473E" w:rsidRPr="00F635C4" w:rsidRDefault="0018473E">
      <w:pPr>
        <w:jc w:val="both"/>
        <w:rPr>
          <w:rFonts w:ascii="Arial" w:eastAsia="Arial" w:hAnsi="Arial" w:cs="Arial"/>
          <w:sz w:val="22"/>
          <w:szCs w:val="22"/>
        </w:rPr>
      </w:pPr>
    </w:p>
    <w:p w14:paraId="5E473384" w14:textId="10F1B125"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2.1.3. ANÁLISIS COSTO-BENEFICIO</w:t>
      </w:r>
      <w:r w:rsidR="000079DA" w:rsidRPr="00F635C4">
        <w:rPr>
          <w:rFonts w:ascii="Arial" w:eastAsia="Arial" w:hAnsi="Arial" w:cs="Arial"/>
          <w:b/>
          <w:sz w:val="22"/>
          <w:szCs w:val="22"/>
        </w:rPr>
        <w:t xml:space="preserve"> ELABORADO POR LA AUTORA</w:t>
      </w:r>
    </w:p>
    <w:p w14:paraId="6C904497" w14:textId="77777777" w:rsidR="0018473E" w:rsidRPr="00F635C4" w:rsidRDefault="0018473E">
      <w:pPr>
        <w:jc w:val="both"/>
        <w:rPr>
          <w:rFonts w:ascii="Arial" w:eastAsia="Arial" w:hAnsi="Arial" w:cs="Arial"/>
          <w:sz w:val="22"/>
          <w:szCs w:val="22"/>
        </w:rPr>
      </w:pPr>
    </w:p>
    <w:p w14:paraId="75A4356F" w14:textId="77777777"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2.1.3.1. PARÁMETROS CONSIDERADOS EN LA ESTIMACIÓN</w:t>
      </w:r>
    </w:p>
    <w:p w14:paraId="37A2E8C6" w14:textId="77777777" w:rsidR="0018473E" w:rsidRPr="00F635C4" w:rsidRDefault="0018473E">
      <w:pPr>
        <w:jc w:val="both"/>
        <w:rPr>
          <w:rFonts w:ascii="Arial" w:eastAsia="Arial" w:hAnsi="Arial" w:cs="Arial"/>
          <w:sz w:val="22"/>
          <w:szCs w:val="22"/>
        </w:rPr>
      </w:pPr>
    </w:p>
    <w:p w14:paraId="7FC8BABC" w14:textId="43F72274" w:rsidR="0018473E" w:rsidRPr="00F635C4" w:rsidRDefault="00015EA5">
      <w:pPr>
        <w:jc w:val="both"/>
        <w:rPr>
          <w:rFonts w:ascii="Arial" w:eastAsia="Arial" w:hAnsi="Arial" w:cs="Arial"/>
          <w:sz w:val="22"/>
          <w:szCs w:val="22"/>
        </w:rPr>
      </w:pPr>
      <w:r w:rsidRPr="00F635C4">
        <w:rPr>
          <w:rFonts w:ascii="Arial" w:eastAsia="Arial" w:hAnsi="Arial" w:cs="Arial"/>
          <w:sz w:val="22"/>
          <w:szCs w:val="22"/>
        </w:rPr>
        <w:t>Con el fin de cuantificar los impactos en materia de recaudo de esta medida,</w:t>
      </w:r>
      <w:r w:rsidR="002D72D4" w:rsidRPr="00F635C4">
        <w:rPr>
          <w:rFonts w:ascii="Arial" w:eastAsia="Arial" w:hAnsi="Arial" w:cs="Arial"/>
          <w:sz w:val="22"/>
          <w:szCs w:val="22"/>
        </w:rPr>
        <w:t xml:space="preserve"> la autora elaboró</w:t>
      </w:r>
      <w:r w:rsidRPr="00F635C4">
        <w:rPr>
          <w:rFonts w:ascii="Arial" w:eastAsia="Arial" w:hAnsi="Arial" w:cs="Arial"/>
          <w:sz w:val="22"/>
          <w:szCs w:val="22"/>
        </w:rPr>
        <w:t xml:space="preserve"> una modelación que contempló los siguientes parámetros (Tabla 1)</w:t>
      </w:r>
    </w:p>
    <w:p w14:paraId="52B0B116" w14:textId="77777777" w:rsidR="0018473E" w:rsidRPr="00F635C4" w:rsidRDefault="0018473E">
      <w:pPr>
        <w:jc w:val="both"/>
        <w:rPr>
          <w:rFonts w:ascii="Arial" w:eastAsia="Arial" w:hAnsi="Arial" w:cs="Arial"/>
          <w:sz w:val="22"/>
          <w:szCs w:val="22"/>
        </w:rPr>
      </w:pPr>
    </w:p>
    <w:p w14:paraId="5F867D52" w14:textId="77777777" w:rsidR="0018473E" w:rsidRPr="00F635C4" w:rsidRDefault="00015EA5">
      <w:pPr>
        <w:jc w:val="center"/>
        <w:rPr>
          <w:rFonts w:ascii="Arial" w:eastAsia="Arial" w:hAnsi="Arial" w:cs="Arial"/>
          <w:b/>
          <w:i/>
          <w:sz w:val="22"/>
          <w:szCs w:val="22"/>
        </w:rPr>
      </w:pPr>
      <w:r w:rsidRPr="00F635C4">
        <w:rPr>
          <w:rFonts w:ascii="Arial" w:eastAsia="Arial" w:hAnsi="Arial" w:cs="Arial"/>
          <w:b/>
          <w:i/>
          <w:sz w:val="22"/>
          <w:szCs w:val="22"/>
        </w:rPr>
        <w:t>Tabla 1. Parámetros considerados para la estimación</w:t>
      </w:r>
    </w:p>
    <w:tbl>
      <w:tblPr>
        <w:tblStyle w:val="a2"/>
        <w:tblW w:w="10008"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14"/>
        <w:gridCol w:w="1305"/>
        <w:gridCol w:w="5789"/>
      </w:tblGrid>
      <w:tr w:rsidR="0018473E" w:rsidRPr="00F635C4" w14:paraId="12618941" w14:textId="77777777">
        <w:trPr>
          <w:trHeight w:val="193"/>
          <w:jc w:val="center"/>
        </w:trPr>
        <w:tc>
          <w:tcPr>
            <w:tcW w:w="2914" w:type="dxa"/>
            <w:vAlign w:val="center"/>
          </w:tcPr>
          <w:p w14:paraId="458294F2" w14:textId="77777777" w:rsidR="0018473E" w:rsidRPr="00F635C4" w:rsidRDefault="00015EA5">
            <w:pPr>
              <w:jc w:val="center"/>
              <w:rPr>
                <w:b/>
                <w:color w:val="404040"/>
              </w:rPr>
            </w:pPr>
            <w:r w:rsidRPr="00F635C4">
              <w:rPr>
                <w:b/>
                <w:color w:val="404040"/>
              </w:rPr>
              <w:t>Elemento</w:t>
            </w:r>
          </w:p>
        </w:tc>
        <w:tc>
          <w:tcPr>
            <w:tcW w:w="1305" w:type="dxa"/>
            <w:vAlign w:val="center"/>
          </w:tcPr>
          <w:p w14:paraId="3D98DFCE" w14:textId="77777777" w:rsidR="0018473E" w:rsidRPr="00F635C4" w:rsidRDefault="00015EA5">
            <w:pPr>
              <w:jc w:val="center"/>
              <w:rPr>
                <w:b/>
                <w:color w:val="404040"/>
              </w:rPr>
            </w:pPr>
            <w:r w:rsidRPr="00F635C4">
              <w:rPr>
                <w:b/>
                <w:color w:val="404040"/>
              </w:rPr>
              <w:t>Parámetro</w:t>
            </w:r>
          </w:p>
        </w:tc>
        <w:tc>
          <w:tcPr>
            <w:tcW w:w="5789" w:type="dxa"/>
            <w:vAlign w:val="center"/>
          </w:tcPr>
          <w:p w14:paraId="2CCEBE26" w14:textId="77777777" w:rsidR="0018473E" w:rsidRPr="00F635C4" w:rsidRDefault="00015EA5">
            <w:pPr>
              <w:jc w:val="center"/>
              <w:rPr>
                <w:b/>
                <w:color w:val="404040"/>
              </w:rPr>
            </w:pPr>
            <w:r w:rsidRPr="00F635C4">
              <w:rPr>
                <w:b/>
                <w:color w:val="404040"/>
              </w:rPr>
              <w:t>Justificación y fuente</w:t>
            </w:r>
          </w:p>
        </w:tc>
      </w:tr>
      <w:tr w:rsidR="0018473E" w:rsidRPr="00F635C4" w14:paraId="7C576013" w14:textId="77777777">
        <w:trPr>
          <w:trHeight w:val="193"/>
          <w:jc w:val="center"/>
        </w:trPr>
        <w:tc>
          <w:tcPr>
            <w:tcW w:w="2914" w:type="dxa"/>
            <w:vAlign w:val="center"/>
          </w:tcPr>
          <w:p w14:paraId="42DB4719" w14:textId="77777777" w:rsidR="0018473E" w:rsidRPr="00F635C4" w:rsidRDefault="00015EA5">
            <w:pPr>
              <w:rPr>
                <w:color w:val="000000"/>
              </w:rPr>
            </w:pPr>
            <w:r w:rsidRPr="00F635C4">
              <w:rPr>
                <w:color w:val="000000"/>
              </w:rPr>
              <w:t>Participación vivienda de interés social en el total del mercado</w:t>
            </w:r>
          </w:p>
        </w:tc>
        <w:tc>
          <w:tcPr>
            <w:tcW w:w="1305" w:type="dxa"/>
            <w:vAlign w:val="center"/>
          </w:tcPr>
          <w:p w14:paraId="714364AB" w14:textId="77777777" w:rsidR="0018473E" w:rsidRPr="00F635C4" w:rsidRDefault="00015EA5">
            <w:pPr>
              <w:jc w:val="center"/>
              <w:rPr>
                <w:color w:val="000000"/>
              </w:rPr>
            </w:pPr>
            <w:r w:rsidRPr="00F635C4">
              <w:rPr>
                <w:color w:val="000000"/>
              </w:rPr>
              <w:t>76%</w:t>
            </w:r>
          </w:p>
        </w:tc>
        <w:tc>
          <w:tcPr>
            <w:tcW w:w="5789" w:type="dxa"/>
            <w:vAlign w:val="center"/>
          </w:tcPr>
          <w:p w14:paraId="4179E51D" w14:textId="77777777" w:rsidR="0018473E" w:rsidRPr="00F635C4" w:rsidRDefault="00015EA5">
            <w:pPr>
              <w:rPr>
                <w:color w:val="000000"/>
              </w:rPr>
            </w:pPr>
            <w:r w:rsidRPr="00F635C4">
              <w:rPr>
                <w:color w:val="000000"/>
              </w:rPr>
              <w:t xml:space="preserve">Participación estimada de viviendas sociales a 2035. Fuente: Plan del Hábitat y Servicios Públicos </w:t>
            </w:r>
          </w:p>
        </w:tc>
      </w:tr>
      <w:tr w:rsidR="0018473E" w:rsidRPr="00F635C4" w14:paraId="218FDF9F" w14:textId="77777777">
        <w:trPr>
          <w:trHeight w:val="620"/>
          <w:jc w:val="center"/>
        </w:trPr>
        <w:tc>
          <w:tcPr>
            <w:tcW w:w="2914" w:type="dxa"/>
            <w:vAlign w:val="center"/>
          </w:tcPr>
          <w:p w14:paraId="3F0DB13D" w14:textId="77777777" w:rsidR="0018473E" w:rsidRPr="00F635C4" w:rsidRDefault="00015EA5">
            <w:pPr>
              <w:rPr>
                <w:color w:val="000000"/>
              </w:rPr>
            </w:pPr>
            <w:r w:rsidRPr="00F635C4">
              <w:rPr>
                <w:color w:val="000000"/>
              </w:rPr>
              <w:t>Participación viviendas No VIS en el total del mercado</w:t>
            </w:r>
          </w:p>
        </w:tc>
        <w:tc>
          <w:tcPr>
            <w:tcW w:w="1305" w:type="dxa"/>
            <w:vAlign w:val="center"/>
          </w:tcPr>
          <w:p w14:paraId="0B554037" w14:textId="77777777" w:rsidR="0018473E" w:rsidRPr="00F635C4" w:rsidRDefault="00015EA5">
            <w:pPr>
              <w:jc w:val="center"/>
              <w:rPr>
                <w:color w:val="000000"/>
              </w:rPr>
            </w:pPr>
            <w:r w:rsidRPr="00F635C4">
              <w:rPr>
                <w:color w:val="000000"/>
              </w:rPr>
              <w:t>24%</w:t>
            </w:r>
          </w:p>
        </w:tc>
        <w:tc>
          <w:tcPr>
            <w:tcW w:w="5789" w:type="dxa"/>
            <w:vAlign w:val="center"/>
          </w:tcPr>
          <w:p w14:paraId="608D234B" w14:textId="77777777" w:rsidR="0018473E" w:rsidRPr="00F635C4" w:rsidRDefault="00015EA5">
            <w:pPr>
              <w:rPr>
                <w:color w:val="000000"/>
              </w:rPr>
            </w:pPr>
            <w:r w:rsidRPr="00F635C4">
              <w:rPr>
                <w:color w:val="000000"/>
              </w:rPr>
              <w:t>Participación estimada de viviendas No VIS a 2035. Fuente: Plan del Hábitat y Servicios Públicos</w:t>
            </w:r>
          </w:p>
        </w:tc>
      </w:tr>
      <w:tr w:rsidR="0018473E" w:rsidRPr="00F635C4" w14:paraId="4F6B4501" w14:textId="77777777">
        <w:trPr>
          <w:trHeight w:val="193"/>
          <w:jc w:val="center"/>
        </w:trPr>
        <w:tc>
          <w:tcPr>
            <w:tcW w:w="2914" w:type="dxa"/>
            <w:vAlign w:val="center"/>
          </w:tcPr>
          <w:p w14:paraId="27829567" w14:textId="77777777" w:rsidR="0018473E" w:rsidRPr="00F635C4" w:rsidRDefault="00015EA5">
            <w:pPr>
              <w:rPr>
                <w:color w:val="000000"/>
              </w:rPr>
            </w:pPr>
            <w:r w:rsidRPr="00F635C4">
              <w:rPr>
                <w:color w:val="000000"/>
              </w:rPr>
              <w:t>Valor VIS (SMMLV)</w:t>
            </w:r>
          </w:p>
        </w:tc>
        <w:tc>
          <w:tcPr>
            <w:tcW w:w="1305" w:type="dxa"/>
            <w:vAlign w:val="center"/>
          </w:tcPr>
          <w:p w14:paraId="57AA6490" w14:textId="77777777" w:rsidR="0018473E" w:rsidRPr="00F635C4" w:rsidRDefault="00015EA5">
            <w:pPr>
              <w:jc w:val="center"/>
              <w:rPr>
                <w:color w:val="000000"/>
              </w:rPr>
            </w:pPr>
            <w:r w:rsidRPr="00F635C4">
              <w:rPr>
                <w:color w:val="000000"/>
              </w:rPr>
              <w:t>175</w:t>
            </w:r>
          </w:p>
        </w:tc>
        <w:tc>
          <w:tcPr>
            <w:tcW w:w="5789" w:type="dxa"/>
            <w:vAlign w:val="center"/>
          </w:tcPr>
          <w:p w14:paraId="3EE0C17A" w14:textId="77777777" w:rsidR="0018473E" w:rsidRPr="00F635C4" w:rsidRDefault="00015EA5">
            <w:pPr>
              <w:rPr>
                <w:color w:val="000000"/>
              </w:rPr>
            </w:pPr>
            <w:r w:rsidRPr="00F635C4">
              <w:rPr>
                <w:color w:val="000000"/>
              </w:rPr>
              <w:t>Precio tope de la VIS en renovación urbana. Artículo 239 de la Ley 2294 de 2023</w:t>
            </w:r>
          </w:p>
        </w:tc>
      </w:tr>
      <w:tr w:rsidR="0018473E" w:rsidRPr="00F635C4" w14:paraId="73EDFCF3" w14:textId="77777777">
        <w:trPr>
          <w:trHeight w:val="193"/>
          <w:jc w:val="center"/>
        </w:trPr>
        <w:tc>
          <w:tcPr>
            <w:tcW w:w="2914" w:type="dxa"/>
            <w:vAlign w:val="center"/>
          </w:tcPr>
          <w:p w14:paraId="61430F7A" w14:textId="77777777" w:rsidR="0018473E" w:rsidRPr="00F635C4" w:rsidRDefault="00015EA5">
            <w:pPr>
              <w:rPr>
                <w:color w:val="000000"/>
              </w:rPr>
            </w:pPr>
            <w:r w:rsidRPr="00F635C4">
              <w:rPr>
                <w:color w:val="000000"/>
              </w:rPr>
              <w:t>Valor No VIS (SMMLV)</w:t>
            </w:r>
          </w:p>
        </w:tc>
        <w:tc>
          <w:tcPr>
            <w:tcW w:w="1305" w:type="dxa"/>
            <w:vAlign w:val="center"/>
          </w:tcPr>
          <w:p w14:paraId="64B5AC89" w14:textId="77777777" w:rsidR="0018473E" w:rsidRPr="00F635C4" w:rsidRDefault="00015EA5">
            <w:pPr>
              <w:jc w:val="center"/>
              <w:rPr>
                <w:color w:val="000000"/>
              </w:rPr>
            </w:pPr>
            <w:r w:rsidRPr="00F635C4">
              <w:rPr>
                <w:color w:val="000000"/>
              </w:rPr>
              <w:t>500</w:t>
            </w:r>
          </w:p>
        </w:tc>
        <w:tc>
          <w:tcPr>
            <w:tcW w:w="5789" w:type="dxa"/>
            <w:vAlign w:val="center"/>
          </w:tcPr>
          <w:p w14:paraId="28A8EF38" w14:textId="77777777" w:rsidR="0018473E" w:rsidRPr="00F635C4" w:rsidRDefault="00015EA5">
            <w:pPr>
              <w:rPr>
                <w:color w:val="000000"/>
              </w:rPr>
            </w:pPr>
            <w:r w:rsidRPr="00F635C4">
              <w:rPr>
                <w:color w:val="000000"/>
              </w:rPr>
              <w:t>Precio estimado de vivienda No VIS</w:t>
            </w:r>
          </w:p>
        </w:tc>
      </w:tr>
      <w:tr w:rsidR="0018473E" w:rsidRPr="00F635C4" w14:paraId="36571971" w14:textId="77777777">
        <w:trPr>
          <w:trHeight w:val="808"/>
          <w:jc w:val="center"/>
        </w:trPr>
        <w:tc>
          <w:tcPr>
            <w:tcW w:w="2914" w:type="dxa"/>
            <w:vAlign w:val="center"/>
          </w:tcPr>
          <w:p w14:paraId="0C0DECAB" w14:textId="77777777" w:rsidR="0018473E" w:rsidRPr="00F635C4" w:rsidRDefault="00015EA5">
            <w:pPr>
              <w:rPr>
                <w:color w:val="000000"/>
              </w:rPr>
            </w:pPr>
            <w:r w:rsidRPr="00F635C4">
              <w:rPr>
                <w:color w:val="000000"/>
              </w:rPr>
              <w:t>Crecimiento precio de las viviendas</w:t>
            </w:r>
          </w:p>
        </w:tc>
        <w:tc>
          <w:tcPr>
            <w:tcW w:w="1305" w:type="dxa"/>
            <w:vAlign w:val="center"/>
          </w:tcPr>
          <w:p w14:paraId="0D3D0F4D" w14:textId="77777777" w:rsidR="0018473E" w:rsidRPr="00F635C4" w:rsidRDefault="00015EA5">
            <w:pPr>
              <w:jc w:val="center"/>
              <w:rPr>
                <w:color w:val="000000"/>
              </w:rPr>
            </w:pPr>
            <w:r w:rsidRPr="00F635C4">
              <w:rPr>
                <w:color w:val="000000"/>
              </w:rPr>
              <w:t>3.6%-3%</w:t>
            </w:r>
          </w:p>
        </w:tc>
        <w:tc>
          <w:tcPr>
            <w:tcW w:w="5789" w:type="dxa"/>
            <w:vAlign w:val="center"/>
          </w:tcPr>
          <w:p w14:paraId="7A80B2C5" w14:textId="77777777" w:rsidR="0018473E" w:rsidRPr="00F635C4" w:rsidRDefault="00015EA5">
            <w:pPr>
              <w:rPr>
                <w:color w:val="000000"/>
              </w:rPr>
            </w:pPr>
            <w:r w:rsidRPr="00F635C4">
              <w:rPr>
                <w:color w:val="000000"/>
              </w:rPr>
              <w:t xml:space="preserve">Los valores de las viviendas evolucionan según la inflación mediana esperada hasta 2026. A partir de 2027, se adopta como referencia una inflación del 3%, </w:t>
            </w:r>
            <w:r w:rsidRPr="00F635C4">
              <w:rPr>
                <w:color w:val="000000"/>
              </w:rPr>
              <w:lastRenderedPageBreak/>
              <w:t>correspondiente al valor medio del rango meta de inflación. Fuente: Encuesta Mensual de Expectativas Económicas del Banco de la República de Colombia.</w:t>
            </w:r>
          </w:p>
        </w:tc>
      </w:tr>
      <w:tr w:rsidR="0018473E" w:rsidRPr="00F635C4" w14:paraId="30EC2DD9" w14:textId="77777777">
        <w:trPr>
          <w:trHeight w:val="193"/>
          <w:jc w:val="center"/>
        </w:trPr>
        <w:tc>
          <w:tcPr>
            <w:tcW w:w="2914" w:type="dxa"/>
            <w:vAlign w:val="center"/>
          </w:tcPr>
          <w:p w14:paraId="4677D0DA" w14:textId="77777777" w:rsidR="0018473E" w:rsidRPr="00F635C4" w:rsidRDefault="00015EA5">
            <w:pPr>
              <w:rPr>
                <w:color w:val="000000"/>
              </w:rPr>
            </w:pPr>
            <w:r w:rsidRPr="00F635C4">
              <w:rPr>
                <w:color w:val="000000"/>
              </w:rPr>
              <w:lastRenderedPageBreak/>
              <w:t xml:space="preserve">Tarifa </w:t>
            </w:r>
          </w:p>
        </w:tc>
        <w:tc>
          <w:tcPr>
            <w:tcW w:w="1305" w:type="dxa"/>
            <w:vAlign w:val="center"/>
          </w:tcPr>
          <w:p w14:paraId="7D941C00" w14:textId="77777777" w:rsidR="0018473E" w:rsidRPr="00F635C4" w:rsidRDefault="00015EA5">
            <w:pPr>
              <w:jc w:val="center"/>
              <w:rPr>
                <w:color w:val="000000"/>
              </w:rPr>
            </w:pPr>
            <w:r w:rsidRPr="00F635C4">
              <w:rPr>
                <w:color w:val="000000"/>
              </w:rPr>
              <w:t>2,6%</w:t>
            </w:r>
          </w:p>
        </w:tc>
        <w:tc>
          <w:tcPr>
            <w:tcW w:w="5789" w:type="dxa"/>
            <w:vAlign w:val="center"/>
          </w:tcPr>
          <w:p w14:paraId="36031FEA" w14:textId="77777777" w:rsidR="0018473E" w:rsidRPr="00F635C4" w:rsidRDefault="00015EA5">
            <w:pPr>
              <w:rPr>
                <w:color w:val="000000"/>
              </w:rPr>
            </w:pPr>
            <w:r w:rsidRPr="00F635C4">
              <w:rPr>
                <w:color w:val="000000"/>
              </w:rPr>
              <w:t xml:space="preserve">Sobre el presupuesto inicial de la obra, pagado al declarar el anticipo, Fuente: Acuerdo 352 de 2008 </w:t>
            </w:r>
          </w:p>
        </w:tc>
      </w:tr>
      <w:tr w:rsidR="0018473E" w:rsidRPr="00F635C4" w14:paraId="173AEBBB" w14:textId="77777777">
        <w:trPr>
          <w:trHeight w:val="193"/>
          <w:jc w:val="center"/>
        </w:trPr>
        <w:tc>
          <w:tcPr>
            <w:tcW w:w="2914" w:type="dxa"/>
            <w:vAlign w:val="center"/>
          </w:tcPr>
          <w:p w14:paraId="6FA7AF80" w14:textId="77777777" w:rsidR="0018473E" w:rsidRPr="00F635C4" w:rsidRDefault="00015EA5">
            <w:pPr>
              <w:rPr>
                <w:color w:val="000000"/>
              </w:rPr>
            </w:pPr>
            <w:r w:rsidRPr="00F635C4">
              <w:rPr>
                <w:color w:val="000000"/>
              </w:rPr>
              <w:t>Incidencia de materiales y equipos y mano de obra en el valor comercial</w:t>
            </w:r>
          </w:p>
        </w:tc>
        <w:tc>
          <w:tcPr>
            <w:tcW w:w="1305" w:type="dxa"/>
            <w:vAlign w:val="center"/>
          </w:tcPr>
          <w:p w14:paraId="0F04C142" w14:textId="77777777" w:rsidR="0018473E" w:rsidRPr="00F635C4" w:rsidRDefault="00015EA5">
            <w:pPr>
              <w:jc w:val="center"/>
              <w:rPr>
                <w:color w:val="000000"/>
              </w:rPr>
            </w:pPr>
            <w:r w:rsidRPr="00F635C4">
              <w:rPr>
                <w:color w:val="000000"/>
              </w:rPr>
              <w:t>55,4%</w:t>
            </w:r>
          </w:p>
        </w:tc>
        <w:tc>
          <w:tcPr>
            <w:tcW w:w="5789" w:type="dxa"/>
            <w:vAlign w:val="center"/>
          </w:tcPr>
          <w:p w14:paraId="4476A8EA" w14:textId="77777777" w:rsidR="0018473E" w:rsidRPr="00F635C4" w:rsidRDefault="00015EA5">
            <w:pPr>
              <w:rPr>
                <w:color w:val="000000"/>
              </w:rPr>
            </w:pPr>
            <w:r w:rsidRPr="00F635C4">
              <w:rPr>
                <w:color w:val="000000"/>
              </w:rPr>
              <w:t>Participación de materiales, equipo y mano de obra en la estructura de costos de un proyecto de vivienda. Fuente: DNP</w:t>
            </w:r>
          </w:p>
        </w:tc>
      </w:tr>
      <w:tr w:rsidR="0018473E" w:rsidRPr="00F635C4" w14:paraId="7919F4CD" w14:textId="77777777">
        <w:trPr>
          <w:trHeight w:val="193"/>
          <w:jc w:val="center"/>
        </w:trPr>
        <w:tc>
          <w:tcPr>
            <w:tcW w:w="2914" w:type="dxa"/>
            <w:vAlign w:val="center"/>
          </w:tcPr>
          <w:p w14:paraId="4A722CCA" w14:textId="77777777" w:rsidR="0018473E" w:rsidRPr="00F635C4" w:rsidRDefault="00015EA5">
            <w:pPr>
              <w:rPr>
                <w:color w:val="000000"/>
              </w:rPr>
            </w:pPr>
            <w:r w:rsidRPr="00F635C4">
              <w:rPr>
                <w:color w:val="000000"/>
              </w:rPr>
              <w:t xml:space="preserve">Viviendas VIS estrato mayor igual a 4 </w:t>
            </w:r>
          </w:p>
        </w:tc>
        <w:tc>
          <w:tcPr>
            <w:tcW w:w="1305" w:type="dxa"/>
            <w:vAlign w:val="center"/>
          </w:tcPr>
          <w:p w14:paraId="192D22A4" w14:textId="77777777" w:rsidR="0018473E" w:rsidRPr="00F635C4" w:rsidRDefault="00015EA5">
            <w:pPr>
              <w:jc w:val="center"/>
              <w:rPr>
                <w:color w:val="000000"/>
              </w:rPr>
            </w:pPr>
            <w:r w:rsidRPr="00F635C4">
              <w:rPr>
                <w:color w:val="000000"/>
              </w:rPr>
              <w:t>21%</w:t>
            </w:r>
          </w:p>
        </w:tc>
        <w:tc>
          <w:tcPr>
            <w:tcW w:w="5789" w:type="dxa"/>
            <w:vAlign w:val="center"/>
          </w:tcPr>
          <w:p w14:paraId="7396BE93" w14:textId="77777777" w:rsidR="0018473E" w:rsidRPr="00F635C4" w:rsidRDefault="00015EA5">
            <w:pPr>
              <w:rPr>
                <w:color w:val="000000"/>
              </w:rPr>
            </w:pPr>
            <w:r w:rsidRPr="00F635C4">
              <w:rPr>
                <w:color w:val="000000"/>
              </w:rPr>
              <w:t>Porcentaje promedio de viviendas licenciadas en Bogotá de estrato igual o mayor a 4 en periodo 2022-2024. Se utiliza para estimar el número de VIS que contribuyen con el impuesto de delineación. Fuente: DANE</w:t>
            </w:r>
          </w:p>
        </w:tc>
      </w:tr>
      <w:tr w:rsidR="0018473E" w:rsidRPr="00F635C4" w14:paraId="5F4599DD" w14:textId="77777777">
        <w:trPr>
          <w:trHeight w:val="193"/>
          <w:jc w:val="center"/>
        </w:trPr>
        <w:tc>
          <w:tcPr>
            <w:tcW w:w="2914" w:type="dxa"/>
            <w:vAlign w:val="center"/>
          </w:tcPr>
          <w:p w14:paraId="73D14FC9" w14:textId="77777777" w:rsidR="0018473E" w:rsidRPr="00F635C4" w:rsidRDefault="00015EA5">
            <w:pPr>
              <w:rPr>
                <w:color w:val="000000"/>
              </w:rPr>
            </w:pPr>
            <w:r w:rsidRPr="00F635C4">
              <w:rPr>
                <w:color w:val="000000"/>
              </w:rPr>
              <w:t xml:space="preserve">Tarifa </w:t>
            </w:r>
          </w:p>
        </w:tc>
        <w:tc>
          <w:tcPr>
            <w:tcW w:w="1305" w:type="dxa"/>
            <w:vAlign w:val="center"/>
          </w:tcPr>
          <w:p w14:paraId="3FEEC0D7" w14:textId="77777777" w:rsidR="0018473E" w:rsidRPr="00F635C4" w:rsidRDefault="00015EA5">
            <w:pPr>
              <w:jc w:val="center"/>
              <w:rPr>
                <w:color w:val="000000"/>
              </w:rPr>
            </w:pPr>
            <w:r w:rsidRPr="00F635C4">
              <w:rPr>
                <w:color w:val="000000"/>
              </w:rPr>
              <w:t>11,04 por mil</w:t>
            </w:r>
          </w:p>
        </w:tc>
        <w:tc>
          <w:tcPr>
            <w:tcW w:w="5789" w:type="dxa"/>
            <w:vAlign w:val="center"/>
          </w:tcPr>
          <w:p w14:paraId="4568C475" w14:textId="77777777" w:rsidR="0018473E" w:rsidRPr="00F635C4" w:rsidRDefault="00015EA5">
            <w:pPr>
              <w:rPr>
                <w:color w:val="000000"/>
              </w:rPr>
            </w:pPr>
            <w:r w:rsidRPr="00F635C4">
              <w:rPr>
                <w:color w:val="000000"/>
              </w:rPr>
              <w:t>Correspondiente al grupo 103 de la actividad industrial Fuente: Secretaría Distrital de Hacienda</w:t>
            </w:r>
          </w:p>
        </w:tc>
      </w:tr>
      <w:tr w:rsidR="0018473E" w:rsidRPr="00F635C4" w14:paraId="5628FEE2" w14:textId="77777777">
        <w:trPr>
          <w:trHeight w:val="193"/>
          <w:jc w:val="center"/>
        </w:trPr>
        <w:tc>
          <w:tcPr>
            <w:tcW w:w="2914" w:type="dxa"/>
            <w:vAlign w:val="center"/>
          </w:tcPr>
          <w:p w14:paraId="0C2C9991" w14:textId="77777777" w:rsidR="0018473E" w:rsidRPr="00F635C4" w:rsidRDefault="00015EA5">
            <w:r w:rsidRPr="00F635C4">
              <w:t xml:space="preserve">Incidencia de materiales y equipos en el valor comercial </w:t>
            </w:r>
          </w:p>
        </w:tc>
        <w:tc>
          <w:tcPr>
            <w:tcW w:w="1305" w:type="dxa"/>
            <w:vAlign w:val="center"/>
          </w:tcPr>
          <w:p w14:paraId="260C00D5" w14:textId="77777777" w:rsidR="0018473E" w:rsidRPr="00F635C4" w:rsidRDefault="00015EA5">
            <w:pPr>
              <w:jc w:val="center"/>
            </w:pPr>
            <w:r w:rsidRPr="00F635C4">
              <w:t>38.8%</w:t>
            </w:r>
          </w:p>
        </w:tc>
        <w:tc>
          <w:tcPr>
            <w:tcW w:w="5789" w:type="dxa"/>
            <w:vAlign w:val="center"/>
          </w:tcPr>
          <w:p w14:paraId="3588A4DA" w14:textId="77777777" w:rsidR="0018473E" w:rsidRPr="00F635C4" w:rsidRDefault="00015EA5">
            <w:r w:rsidRPr="00F635C4">
              <w:t>Este factor se utiliza para determinar el pago del impuesto de ICA realizado por proveedores. Fuente: DNP</w:t>
            </w:r>
          </w:p>
        </w:tc>
      </w:tr>
      <w:tr w:rsidR="0018473E" w:rsidRPr="00F635C4" w14:paraId="754EC243" w14:textId="77777777">
        <w:trPr>
          <w:trHeight w:val="193"/>
          <w:jc w:val="center"/>
        </w:trPr>
        <w:tc>
          <w:tcPr>
            <w:tcW w:w="2914" w:type="dxa"/>
            <w:vAlign w:val="center"/>
          </w:tcPr>
          <w:p w14:paraId="7DC70D13" w14:textId="77777777" w:rsidR="0018473E" w:rsidRPr="00F635C4" w:rsidRDefault="00015EA5">
            <w:pPr>
              <w:rPr>
                <w:color w:val="000000"/>
                <w:highlight w:val="yellow"/>
              </w:rPr>
            </w:pPr>
            <w:r w:rsidRPr="00F635C4">
              <w:rPr>
                <w:color w:val="000000"/>
              </w:rPr>
              <w:t xml:space="preserve">Tarifa </w:t>
            </w:r>
          </w:p>
        </w:tc>
        <w:tc>
          <w:tcPr>
            <w:tcW w:w="1305" w:type="dxa"/>
            <w:vAlign w:val="center"/>
          </w:tcPr>
          <w:p w14:paraId="584D7E19" w14:textId="77777777" w:rsidR="0018473E" w:rsidRPr="00F635C4" w:rsidRDefault="00015EA5">
            <w:pPr>
              <w:jc w:val="center"/>
              <w:rPr>
                <w:color w:val="000000"/>
                <w:highlight w:val="yellow"/>
              </w:rPr>
            </w:pPr>
            <w:r w:rsidRPr="00F635C4">
              <w:rPr>
                <w:color w:val="000000"/>
              </w:rPr>
              <w:t>11,04 por mil</w:t>
            </w:r>
          </w:p>
        </w:tc>
        <w:tc>
          <w:tcPr>
            <w:tcW w:w="5789" w:type="dxa"/>
            <w:vAlign w:val="center"/>
          </w:tcPr>
          <w:p w14:paraId="2FEB6A03" w14:textId="77777777" w:rsidR="0018473E" w:rsidRPr="00F635C4" w:rsidRDefault="00015EA5">
            <w:pPr>
              <w:rPr>
                <w:color w:val="000000"/>
              </w:rPr>
            </w:pPr>
            <w:r w:rsidRPr="00F635C4">
              <w:rPr>
                <w:color w:val="000000"/>
              </w:rPr>
              <w:t>Correspondiente al grupo 204 de la actividad comercial (Secretaría Distrital de Hacienda,2025).</w:t>
            </w:r>
          </w:p>
        </w:tc>
      </w:tr>
      <w:tr w:rsidR="0018473E" w:rsidRPr="00F635C4" w14:paraId="4DC53D88" w14:textId="77777777">
        <w:trPr>
          <w:trHeight w:val="193"/>
          <w:jc w:val="center"/>
        </w:trPr>
        <w:tc>
          <w:tcPr>
            <w:tcW w:w="2914" w:type="dxa"/>
            <w:vAlign w:val="center"/>
          </w:tcPr>
          <w:p w14:paraId="697F87FD" w14:textId="77777777" w:rsidR="0018473E" w:rsidRPr="00F635C4" w:rsidRDefault="00015EA5">
            <w:pPr>
              <w:rPr>
                <w:color w:val="000000"/>
              </w:rPr>
            </w:pPr>
            <w:r w:rsidRPr="00F635C4">
              <w:rPr>
                <w:color w:val="000000"/>
              </w:rPr>
              <w:t>Tarifa predial residenciales</w:t>
            </w:r>
          </w:p>
        </w:tc>
        <w:tc>
          <w:tcPr>
            <w:tcW w:w="1305" w:type="dxa"/>
            <w:vAlign w:val="center"/>
          </w:tcPr>
          <w:p w14:paraId="5C90D44B" w14:textId="77777777" w:rsidR="0018473E" w:rsidRPr="00F635C4" w:rsidRDefault="00015EA5">
            <w:pPr>
              <w:jc w:val="center"/>
              <w:rPr>
                <w:color w:val="000000"/>
              </w:rPr>
            </w:pPr>
            <w:r w:rsidRPr="00F635C4">
              <w:rPr>
                <w:color w:val="000000"/>
              </w:rPr>
              <w:t>6,5-10,1 por mil</w:t>
            </w:r>
          </w:p>
        </w:tc>
        <w:tc>
          <w:tcPr>
            <w:tcW w:w="5789" w:type="dxa"/>
            <w:vAlign w:val="center"/>
          </w:tcPr>
          <w:p w14:paraId="3B2D23DA" w14:textId="77777777" w:rsidR="0018473E" w:rsidRPr="00F635C4" w:rsidRDefault="00015EA5">
            <w:pPr>
              <w:rPr>
                <w:color w:val="000000"/>
              </w:rPr>
            </w:pPr>
            <w:r w:rsidRPr="00F635C4">
              <w:rPr>
                <w:color w:val="000000"/>
              </w:rPr>
              <w:t>Acuerdo 648 de 2008</w:t>
            </w:r>
          </w:p>
        </w:tc>
      </w:tr>
      <w:tr w:rsidR="0018473E" w:rsidRPr="00F635C4" w14:paraId="5BB2C46D" w14:textId="77777777">
        <w:trPr>
          <w:trHeight w:val="193"/>
          <w:jc w:val="center"/>
        </w:trPr>
        <w:tc>
          <w:tcPr>
            <w:tcW w:w="2914" w:type="dxa"/>
            <w:vAlign w:val="center"/>
          </w:tcPr>
          <w:p w14:paraId="22D6745B" w14:textId="77777777" w:rsidR="0018473E" w:rsidRPr="00F635C4" w:rsidRDefault="00015EA5">
            <w:pPr>
              <w:rPr>
                <w:color w:val="000000"/>
              </w:rPr>
            </w:pPr>
            <w:r w:rsidRPr="00F635C4">
              <w:rPr>
                <w:color w:val="000000"/>
              </w:rPr>
              <w:t>Promedio del valor de la razón de avalúo catastral/Avalúo comercial</w:t>
            </w:r>
          </w:p>
        </w:tc>
        <w:tc>
          <w:tcPr>
            <w:tcW w:w="1305" w:type="dxa"/>
            <w:vAlign w:val="center"/>
          </w:tcPr>
          <w:p w14:paraId="183A9AC2" w14:textId="77777777" w:rsidR="0018473E" w:rsidRPr="00F635C4" w:rsidRDefault="00015EA5">
            <w:pPr>
              <w:jc w:val="center"/>
              <w:rPr>
                <w:color w:val="000000"/>
              </w:rPr>
            </w:pPr>
            <w:r w:rsidRPr="00F635C4">
              <w:rPr>
                <w:color w:val="000000"/>
              </w:rPr>
              <w:t>70%</w:t>
            </w:r>
          </w:p>
        </w:tc>
        <w:tc>
          <w:tcPr>
            <w:tcW w:w="5789" w:type="dxa"/>
            <w:vAlign w:val="center"/>
          </w:tcPr>
          <w:p w14:paraId="1B4FB3D5" w14:textId="77777777" w:rsidR="0018473E" w:rsidRPr="00F635C4" w:rsidRDefault="00015EA5">
            <w:pPr>
              <w:rPr>
                <w:color w:val="000000"/>
              </w:rPr>
            </w:pPr>
            <w:r w:rsidRPr="00F635C4">
              <w:rPr>
                <w:color w:val="000000"/>
              </w:rPr>
              <w:t>El valor derivado de este porcentaje se adopta como base gravable del impuesto predial Fuente: Unidad Administrativa Especial de Catastro Distrital.</w:t>
            </w:r>
          </w:p>
        </w:tc>
      </w:tr>
      <w:tr w:rsidR="0018473E" w:rsidRPr="00F635C4" w14:paraId="1F22F1FD" w14:textId="77777777">
        <w:trPr>
          <w:trHeight w:val="193"/>
          <w:jc w:val="center"/>
        </w:trPr>
        <w:tc>
          <w:tcPr>
            <w:tcW w:w="2914" w:type="dxa"/>
            <w:vAlign w:val="center"/>
          </w:tcPr>
          <w:p w14:paraId="74265F76" w14:textId="77777777" w:rsidR="0018473E" w:rsidRPr="00F635C4" w:rsidRDefault="00015EA5">
            <w:pPr>
              <w:rPr>
                <w:color w:val="000000"/>
              </w:rPr>
            </w:pPr>
            <w:r w:rsidRPr="00F635C4">
              <w:rPr>
                <w:color w:val="000000"/>
              </w:rPr>
              <w:t>Valoración predial</w:t>
            </w:r>
          </w:p>
        </w:tc>
        <w:tc>
          <w:tcPr>
            <w:tcW w:w="1305" w:type="dxa"/>
            <w:vAlign w:val="center"/>
          </w:tcPr>
          <w:p w14:paraId="7F293836" w14:textId="77777777" w:rsidR="0018473E" w:rsidRPr="00F635C4" w:rsidRDefault="00015EA5">
            <w:pPr>
              <w:jc w:val="center"/>
              <w:rPr>
                <w:color w:val="000000"/>
              </w:rPr>
            </w:pPr>
            <w:r w:rsidRPr="00F635C4">
              <w:rPr>
                <w:color w:val="000000"/>
              </w:rPr>
              <w:t>4,6%</w:t>
            </w:r>
          </w:p>
        </w:tc>
        <w:tc>
          <w:tcPr>
            <w:tcW w:w="5789" w:type="dxa"/>
            <w:vAlign w:val="center"/>
          </w:tcPr>
          <w:p w14:paraId="6B5E63AE" w14:textId="77777777" w:rsidR="0018473E" w:rsidRPr="00F635C4" w:rsidRDefault="00015EA5">
            <w:pPr>
              <w:rPr>
                <w:color w:val="000000"/>
              </w:rPr>
            </w:pPr>
            <w:r w:rsidRPr="00F635C4">
              <w:rPr>
                <w:color w:val="000000"/>
              </w:rPr>
              <w:t>Crecimiento del Índice de Valoración Inmobiliaria Urbana y Rural (IVIUR) para el grupo residencial urbano en el año 2024. Se asume constante en años siguientes. Se utiliza para evolucionar el valor de la base gravable del impuesto</w:t>
            </w:r>
          </w:p>
        </w:tc>
      </w:tr>
      <w:tr w:rsidR="0018473E" w:rsidRPr="00F635C4" w14:paraId="3EE61502" w14:textId="77777777">
        <w:trPr>
          <w:trHeight w:val="193"/>
          <w:jc w:val="center"/>
        </w:trPr>
        <w:tc>
          <w:tcPr>
            <w:tcW w:w="2914" w:type="dxa"/>
            <w:vAlign w:val="center"/>
          </w:tcPr>
          <w:p w14:paraId="1AAA406B" w14:textId="77777777" w:rsidR="0018473E" w:rsidRPr="00F635C4" w:rsidRDefault="00015EA5">
            <w:pPr>
              <w:rPr>
                <w:color w:val="000000"/>
              </w:rPr>
            </w:pPr>
            <w:r w:rsidRPr="00F635C4">
              <w:rPr>
                <w:color w:val="000000"/>
              </w:rPr>
              <w:t>Intensidad de mano de obra directa por cada VIS construida</w:t>
            </w:r>
          </w:p>
        </w:tc>
        <w:tc>
          <w:tcPr>
            <w:tcW w:w="1305" w:type="dxa"/>
            <w:vAlign w:val="center"/>
          </w:tcPr>
          <w:p w14:paraId="1076039E" w14:textId="77777777" w:rsidR="0018473E" w:rsidRPr="00F635C4" w:rsidRDefault="0018473E">
            <w:pPr>
              <w:jc w:val="center"/>
              <w:rPr>
                <w:color w:val="000000"/>
              </w:rPr>
            </w:pPr>
          </w:p>
          <w:p w14:paraId="1A758776" w14:textId="77777777" w:rsidR="0018473E" w:rsidRPr="00F635C4" w:rsidRDefault="00015EA5">
            <w:pPr>
              <w:jc w:val="center"/>
              <w:rPr>
                <w:color w:val="000000"/>
              </w:rPr>
            </w:pPr>
            <w:r w:rsidRPr="00F635C4">
              <w:rPr>
                <w:color w:val="000000"/>
              </w:rPr>
              <w:t>1.57</w:t>
            </w:r>
          </w:p>
        </w:tc>
        <w:tc>
          <w:tcPr>
            <w:tcW w:w="5789" w:type="dxa"/>
            <w:vAlign w:val="center"/>
          </w:tcPr>
          <w:p w14:paraId="29DA8326" w14:textId="77777777" w:rsidR="0018473E" w:rsidRPr="00F635C4" w:rsidRDefault="00015EA5">
            <w:pPr>
              <w:rPr>
                <w:color w:val="000000"/>
              </w:rPr>
            </w:pPr>
            <w:r w:rsidRPr="00F635C4">
              <w:rPr>
                <w:color w:val="000000"/>
              </w:rPr>
              <w:t>Número de personas ocupadas de forma directa por cada VIS construida Fuente: Minvivienda</w:t>
            </w:r>
          </w:p>
        </w:tc>
      </w:tr>
      <w:tr w:rsidR="0018473E" w:rsidRPr="00F635C4" w14:paraId="7AEDDD3F" w14:textId="77777777">
        <w:trPr>
          <w:trHeight w:val="538"/>
          <w:jc w:val="center"/>
        </w:trPr>
        <w:tc>
          <w:tcPr>
            <w:tcW w:w="2914" w:type="dxa"/>
            <w:vAlign w:val="center"/>
          </w:tcPr>
          <w:p w14:paraId="1BC0BD27" w14:textId="77777777" w:rsidR="0018473E" w:rsidRPr="00F635C4" w:rsidRDefault="00015EA5">
            <w:pPr>
              <w:rPr>
                <w:color w:val="000000"/>
              </w:rPr>
            </w:pPr>
            <w:r w:rsidRPr="00F635C4">
              <w:rPr>
                <w:color w:val="000000"/>
              </w:rPr>
              <w:t>Intensidad de mano de obra directa por cada No VIS construida</w:t>
            </w:r>
          </w:p>
        </w:tc>
        <w:tc>
          <w:tcPr>
            <w:tcW w:w="1305" w:type="dxa"/>
            <w:vAlign w:val="center"/>
          </w:tcPr>
          <w:p w14:paraId="4C254953" w14:textId="77777777" w:rsidR="0018473E" w:rsidRPr="00F635C4" w:rsidRDefault="00015EA5">
            <w:pPr>
              <w:jc w:val="center"/>
              <w:rPr>
                <w:color w:val="000000"/>
              </w:rPr>
            </w:pPr>
            <w:r w:rsidRPr="00F635C4">
              <w:rPr>
                <w:color w:val="000000"/>
              </w:rPr>
              <w:t>2.78</w:t>
            </w:r>
          </w:p>
        </w:tc>
        <w:tc>
          <w:tcPr>
            <w:tcW w:w="5789" w:type="dxa"/>
            <w:vAlign w:val="center"/>
          </w:tcPr>
          <w:p w14:paraId="4D7ACBEB" w14:textId="77777777" w:rsidR="0018473E" w:rsidRPr="00F635C4" w:rsidRDefault="00015EA5">
            <w:pPr>
              <w:rPr>
                <w:color w:val="000000"/>
              </w:rPr>
            </w:pPr>
            <w:r w:rsidRPr="00F635C4">
              <w:rPr>
                <w:color w:val="000000"/>
              </w:rPr>
              <w:t>Número de personas ocupadas de forma directa por cada No VIS construida Fuente: Minvivienda</w:t>
            </w:r>
          </w:p>
        </w:tc>
      </w:tr>
      <w:tr w:rsidR="0018473E" w:rsidRPr="00F635C4" w14:paraId="5E5366FD" w14:textId="77777777">
        <w:trPr>
          <w:trHeight w:val="193"/>
          <w:jc w:val="center"/>
        </w:trPr>
        <w:tc>
          <w:tcPr>
            <w:tcW w:w="2914" w:type="dxa"/>
            <w:vAlign w:val="center"/>
          </w:tcPr>
          <w:p w14:paraId="124DA2CA" w14:textId="77777777" w:rsidR="0018473E" w:rsidRPr="00F635C4" w:rsidRDefault="00015EA5">
            <w:pPr>
              <w:rPr>
                <w:color w:val="000000"/>
              </w:rPr>
            </w:pPr>
            <w:r w:rsidRPr="00F635C4">
              <w:rPr>
                <w:color w:val="000000"/>
              </w:rPr>
              <w:t>Intensidad de mano de obra indirecta</w:t>
            </w:r>
          </w:p>
        </w:tc>
        <w:tc>
          <w:tcPr>
            <w:tcW w:w="1305" w:type="dxa"/>
            <w:vAlign w:val="center"/>
          </w:tcPr>
          <w:p w14:paraId="476ADE3F" w14:textId="77777777" w:rsidR="0018473E" w:rsidRPr="00F635C4" w:rsidRDefault="00015EA5">
            <w:pPr>
              <w:jc w:val="center"/>
              <w:rPr>
                <w:color w:val="000000"/>
              </w:rPr>
            </w:pPr>
            <w:r w:rsidRPr="00F635C4">
              <w:rPr>
                <w:color w:val="000000"/>
              </w:rPr>
              <w:t>2.17</w:t>
            </w:r>
          </w:p>
        </w:tc>
        <w:tc>
          <w:tcPr>
            <w:tcW w:w="5789" w:type="dxa"/>
            <w:vAlign w:val="center"/>
          </w:tcPr>
          <w:p w14:paraId="69DCFFEF" w14:textId="77777777" w:rsidR="0018473E" w:rsidRPr="00F635C4" w:rsidRDefault="00015EA5">
            <w:pPr>
              <w:rPr>
                <w:color w:val="000000"/>
              </w:rPr>
            </w:pPr>
            <w:r w:rsidRPr="00F635C4">
              <w:rPr>
                <w:color w:val="000000"/>
              </w:rPr>
              <w:t>Número de personas ocupadas de forma indirecta por cada vivienda construida Fuente: Minvivienda</w:t>
            </w:r>
          </w:p>
        </w:tc>
      </w:tr>
      <w:tr w:rsidR="0018473E" w:rsidRPr="00F635C4" w14:paraId="61327735" w14:textId="77777777">
        <w:trPr>
          <w:trHeight w:val="193"/>
          <w:jc w:val="center"/>
        </w:trPr>
        <w:tc>
          <w:tcPr>
            <w:tcW w:w="2914" w:type="dxa"/>
            <w:vAlign w:val="center"/>
          </w:tcPr>
          <w:p w14:paraId="40A2D8B8" w14:textId="77777777" w:rsidR="0018473E" w:rsidRPr="00F635C4" w:rsidRDefault="00015EA5">
            <w:pPr>
              <w:rPr>
                <w:color w:val="000000"/>
              </w:rPr>
            </w:pPr>
            <w:r w:rsidRPr="00F635C4">
              <w:t>Porcentaje de viviendas destinadas a los moradores actuales.</w:t>
            </w:r>
          </w:p>
        </w:tc>
        <w:tc>
          <w:tcPr>
            <w:tcW w:w="1305" w:type="dxa"/>
            <w:vAlign w:val="center"/>
          </w:tcPr>
          <w:p w14:paraId="4260D865" w14:textId="77777777" w:rsidR="0018473E" w:rsidRPr="00F635C4" w:rsidRDefault="00015EA5">
            <w:pPr>
              <w:jc w:val="center"/>
              <w:rPr>
                <w:color w:val="000000"/>
              </w:rPr>
            </w:pPr>
            <w:r w:rsidRPr="00F635C4">
              <w:t>10%</w:t>
            </w:r>
          </w:p>
        </w:tc>
        <w:tc>
          <w:tcPr>
            <w:tcW w:w="5789" w:type="dxa"/>
            <w:vAlign w:val="center"/>
          </w:tcPr>
          <w:p w14:paraId="185A7475" w14:textId="77777777" w:rsidR="0018473E" w:rsidRPr="00F635C4" w:rsidRDefault="00015EA5">
            <w:pPr>
              <w:rPr>
                <w:color w:val="000000"/>
              </w:rPr>
            </w:pPr>
            <w:r w:rsidRPr="00F635C4">
              <w:rPr>
                <w:color w:val="000000"/>
              </w:rPr>
              <w:t>Se toma como referencia la incidencia del valor del suelo, sin urbanismo en el proyecto. Fuente: DNP. Considerando que el POT actual establece acciones de protección a los moradores. Por ello, el propósito es que que todos los propietarios que aportaron predios residirán en el nuevo proyecto una vez finalizado.</w:t>
            </w:r>
          </w:p>
        </w:tc>
      </w:tr>
      <w:tr w:rsidR="0018473E" w:rsidRPr="00F635C4" w14:paraId="4AB77401" w14:textId="77777777">
        <w:trPr>
          <w:trHeight w:val="193"/>
          <w:jc w:val="center"/>
        </w:trPr>
        <w:tc>
          <w:tcPr>
            <w:tcW w:w="2914" w:type="dxa"/>
            <w:vAlign w:val="center"/>
          </w:tcPr>
          <w:p w14:paraId="681409C3" w14:textId="77777777" w:rsidR="0018473E" w:rsidRPr="00F635C4" w:rsidRDefault="00015EA5">
            <w:pPr>
              <w:rPr>
                <w:color w:val="000000"/>
              </w:rPr>
            </w:pPr>
            <w:r w:rsidRPr="00F635C4">
              <w:t>Porcentaje de viviendas destinadas a la comercialización.</w:t>
            </w:r>
          </w:p>
        </w:tc>
        <w:tc>
          <w:tcPr>
            <w:tcW w:w="1305" w:type="dxa"/>
            <w:vAlign w:val="center"/>
          </w:tcPr>
          <w:p w14:paraId="63C7720D" w14:textId="77777777" w:rsidR="0018473E" w:rsidRPr="00F635C4" w:rsidRDefault="00015EA5">
            <w:pPr>
              <w:jc w:val="center"/>
              <w:rPr>
                <w:color w:val="000000"/>
              </w:rPr>
            </w:pPr>
            <w:r w:rsidRPr="00F635C4">
              <w:t>90%</w:t>
            </w:r>
          </w:p>
        </w:tc>
        <w:tc>
          <w:tcPr>
            <w:tcW w:w="5789" w:type="dxa"/>
            <w:vAlign w:val="center"/>
          </w:tcPr>
          <w:p w14:paraId="756F525B" w14:textId="77777777" w:rsidR="0018473E" w:rsidRPr="00F635C4" w:rsidRDefault="00015EA5">
            <w:pPr>
              <w:rPr>
                <w:color w:val="000000"/>
              </w:rPr>
            </w:pPr>
            <w:r w:rsidRPr="00F635C4">
              <w:rPr>
                <w:color w:val="000000"/>
              </w:rPr>
              <w:t>Corresponde al porcentaje de viviendas destinadas a la comercialización.</w:t>
            </w:r>
          </w:p>
        </w:tc>
      </w:tr>
      <w:tr w:rsidR="0018473E" w:rsidRPr="00F635C4" w14:paraId="56C27ECF" w14:textId="77777777">
        <w:trPr>
          <w:trHeight w:val="193"/>
          <w:jc w:val="center"/>
        </w:trPr>
        <w:tc>
          <w:tcPr>
            <w:tcW w:w="2914" w:type="dxa"/>
            <w:vAlign w:val="center"/>
          </w:tcPr>
          <w:p w14:paraId="7AEA2972" w14:textId="77777777" w:rsidR="0018473E" w:rsidRPr="00F635C4" w:rsidRDefault="00015EA5">
            <w:pPr>
              <w:rPr>
                <w:color w:val="000000"/>
              </w:rPr>
            </w:pPr>
            <w:r w:rsidRPr="00F635C4">
              <w:t>Porcentaje de descuento para propietarios actuales/moradores</w:t>
            </w:r>
          </w:p>
        </w:tc>
        <w:tc>
          <w:tcPr>
            <w:tcW w:w="1305" w:type="dxa"/>
            <w:vAlign w:val="center"/>
          </w:tcPr>
          <w:p w14:paraId="0444E783" w14:textId="77777777" w:rsidR="0018473E" w:rsidRPr="00F635C4" w:rsidRDefault="00015EA5">
            <w:pPr>
              <w:jc w:val="center"/>
              <w:rPr>
                <w:color w:val="000000"/>
              </w:rPr>
            </w:pPr>
            <w:r w:rsidRPr="00F635C4">
              <w:t>90%</w:t>
            </w:r>
          </w:p>
        </w:tc>
        <w:tc>
          <w:tcPr>
            <w:tcW w:w="5789" w:type="dxa"/>
            <w:vAlign w:val="center"/>
          </w:tcPr>
          <w:p w14:paraId="6272520C" w14:textId="77777777" w:rsidR="0018473E" w:rsidRPr="00F635C4" w:rsidRDefault="00015EA5">
            <w:pPr>
              <w:rPr>
                <w:color w:val="000000"/>
              </w:rPr>
            </w:pPr>
            <w:r w:rsidRPr="00F635C4">
              <w:rPr>
                <w:color w:val="000000"/>
              </w:rPr>
              <w:t>Corresponde al descuento otorgado a los propietarios que aportaron el suelo. Por lo tanto, se aplica al 20% de las unidades del proyecto.</w:t>
            </w:r>
          </w:p>
        </w:tc>
      </w:tr>
    </w:tbl>
    <w:p w14:paraId="7E87ACFA" w14:textId="77777777" w:rsidR="0018473E" w:rsidRPr="00F635C4" w:rsidRDefault="0018473E">
      <w:pPr>
        <w:pBdr>
          <w:top w:val="nil"/>
          <w:left w:val="nil"/>
          <w:bottom w:val="nil"/>
          <w:right w:val="nil"/>
          <w:between w:val="nil"/>
        </w:pBdr>
        <w:jc w:val="both"/>
        <w:rPr>
          <w:rFonts w:ascii="Arial" w:eastAsia="Arial" w:hAnsi="Arial" w:cs="Arial"/>
          <w:b/>
          <w:sz w:val="22"/>
          <w:szCs w:val="22"/>
        </w:rPr>
      </w:pPr>
    </w:p>
    <w:p w14:paraId="69F3D698" w14:textId="700C16A3" w:rsidR="0018473E" w:rsidRPr="00F635C4" w:rsidRDefault="00A66DC7">
      <w:pPr>
        <w:pBdr>
          <w:top w:val="nil"/>
          <w:left w:val="nil"/>
          <w:bottom w:val="nil"/>
          <w:right w:val="nil"/>
          <w:between w:val="nil"/>
        </w:pBdr>
        <w:jc w:val="both"/>
        <w:rPr>
          <w:rFonts w:ascii="Arial" w:eastAsia="Arial" w:hAnsi="Arial" w:cs="Arial"/>
          <w:sz w:val="22"/>
          <w:szCs w:val="22"/>
        </w:rPr>
      </w:pPr>
      <w:r w:rsidRPr="00F635C4">
        <w:rPr>
          <w:rFonts w:ascii="Arial" w:eastAsia="Arial" w:hAnsi="Arial" w:cs="Arial"/>
          <w:sz w:val="22"/>
          <w:szCs w:val="22"/>
        </w:rPr>
        <w:lastRenderedPageBreak/>
        <w:t>La autora menciona que el ciclo constructivo de los proyectos de renovación urbana genera varios impuestos distritales en momentos clave: en el momento 1, se causa el impuesto de delineación urbana con la obtención de la licencia de construcción; en el momento 2, se genera el Impuesto de Industria y Comercio (ICA) por la compra de materiales; en el momento 3, el ICA se causa nuevamente por la venta y escrituración de las unidades de vivienda; y finalmente, en el momento 4, los nuevos propietarios comienzan a pagar el impuesto predial.</w:t>
      </w:r>
    </w:p>
    <w:p w14:paraId="50A64457" w14:textId="77777777" w:rsidR="00A66DC7" w:rsidRPr="00F635C4" w:rsidRDefault="00A66DC7">
      <w:pPr>
        <w:pBdr>
          <w:top w:val="nil"/>
          <w:left w:val="nil"/>
          <w:bottom w:val="nil"/>
          <w:right w:val="nil"/>
          <w:between w:val="nil"/>
        </w:pBdr>
        <w:jc w:val="both"/>
        <w:rPr>
          <w:rFonts w:ascii="Arial" w:eastAsia="Arial" w:hAnsi="Arial" w:cs="Arial"/>
          <w:b/>
          <w:i/>
          <w:sz w:val="22"/>
          <w:szCs w:val="22"/>
        </w:rPr>
      </w:pPr>
    </w:p>
    <w:p w14:paraId="4A7C6713" w14:textId="49F20D59" w:rsidR="0018473E" w:rsidRPr="00F635C4" w:rsidRDefault="002D72D4">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sz w:val="22"/>
          <w:szCs w:val="22"/>
        </w:rPr>
        <w:t>La autora consideró 3 escenarios de ocurrencia para estimar el número de unidades de vivienda a construir en modalidad de renovación urbana</w:t>
      </w:r>
      <w:r w:rsidR="00015EA5" w:rsidRPr="00F635C4">
        <w:rPr>
          <w:rFonts w:ascii="Arial" w:eastAsia="Arial" w:hAnsi="Arial" w:cs="Arial"/>
          <w:color w:val="000000"/>
          <w:sz w:val="22"/>
          <w:szCs w:val="22"/>
        </w:rPr>
        <w:t xml:space="preserve"> (Tabla 2):</w:t>
      </w:r>
    </w:p>
    <w:p w14:paraId="218B2649" w14:textId="77777777" w:rsidR="0018473E" w:rsidRPr="00F635C4" w:rsidRDefault="0018473E">
      <w:pPr>
        <w:pBdr>
          <w:top w:val="nil"/>
          <w:left w:val="nil"/>
          <w:bottom w:val="nil"/>
          <w:right w:val="nil"/>
          <w:between w:val="nil"/>
        </w:pBdr>
        <w:jc w:val="both"/>
        <w:rPr>
          <w:rFonts w:ascii="Arial" w:eastAsia="Arial" w:hAnsi="Arial" w:cs="Arial"/>
          <w:color w:val="000000"/>
          <w:sz w:val="22"/>
          <w:szCs w:val="22"/>
        </w:rPr>
      </w:pPr>
    </w:p>
    <w:p w14:paraId="724884F3" w14:textId="77777777" w:rsidR="0018473E" w:rsidRPr="00F635C4" w:rsidRDefault="00015EA5">
      <w:pPr>
        <w:tabs>
          <w:tab w:val="left" w:pos="1276"/>
        </w:tabs>
        <w:jc w:val="center"/>
        <w:rPr>
          <w:rFonts w:ascii="Arial" w:eastAsia="Arial" w:hAnsi="Arial" w:cs="Arial"/>
          <w:b/>
          <w:i/>
          <w:sz w:val="22"/>
          <w:szCs w:val="22"/>
        </w:rPr>
      </w:pPr>
      <w:r w:rsidRPr="00F635C4">
        <w:rPr>
          <w:rFonts w:ascii="Arial" w:eastAsia="Arial" w:hAnsi="Arial" w:cs="Arial"/>
          <w:b/>
          <w:i/>
          <w:sz w:val="22"/>
          <w:szCs w:val="22"/>
        </w:rPr>
        <w:t>Tabla 2. Escenarios considerados en la estimación</w:t>
      </w:r>
    </w:p>
    <w:tbl>
      <w:tblPr>
        <w:tblStyle w:val="a3"/>
        <w:tblW w:w="9799"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696"/>
        <w:gridCol w:w="8103"/>
      </w:tblGrid>
      <w:tr w:rsidR="0018473E" w:rsidRPr="00F635C4" w14:paraId="5641D0C0" w14:textId="77777777">
        <w:trPr>
          <w:trHeight w:val="114"/>
          <w:jc w:val="center"/>
        </w:trPr>
        <w:tc>
          <w:tcPr>
            <w:tcW w:w="1696" w:type="dxa"/>
            <w:vAlign w:val="center"/>
          </w:tcPr>
          <w:p w14:paraId="63215496" w14:textId="77777777" w:rsidR="0018473E" w:rsidRPr="00F635C4" w:rsidRDefault="00015EA5">
            <w:pPr>
              <w:tabs>
                <w:tab w:val="left" w:pos="1276"/>
              </w:tabs>
              <w:jc w:val="center"/>
              <w:rPr>
                <w:b/>
                <w:color w:val="404040"/>
              </w:rPr>
            </w:pPr>
            <w:r w:rsidRPr="00F635C4">
              <w:rPr>
                <w:b/>
                <w:color w:val="404040"/>
              </w:rPr>
              <w:t>Escenarios</w:t>
            </w:r>
          </w:p>
        </w:tc>
        <w:tc>
          <w:tcPr>
            <w:tcW w:w="8103" w:type="dxa"/>
            <w:vAlign w:val="center"/>
          </w:tcPr>
          <w:p w14:paraId="10B6F781" w14:textId="77777777" w:rsidR="0018473E" w:rsidRPr="00F635C4" w:rsidRDefault="00015EA5">
            <w:pPr>
              <w:tabs>
                <w:tab w:val="left" w:pos="1276"/>
              </w:tabs>
              <w:jc w:val="center"/>
              <w:rPr>
                <w:b/>
                <w:color w:val="404040"/>
              </w:rPr>
            </w:pPr>
            <w:r w:rsidRPr="00F635C4">
              <w:rPr>
                <w:b/>
                <w:color w:val="404040"/>
              </w:rPr>
              <w:t>Metodología de cálculo</w:t>
            </w:r>
          </w:p>
        </w:tc>
      </w:tr>
      <w:tr w:rsidR="0018473E" w:rsidRPr="00F635C4" w14:paraId="49231898" w14:textId="77777777">
        <w:trPr>
          <w:trHeight w:val="114"/>
          <w:jc w:val="center"/>
        </w:trPr>
        <w:tc>
          <w:tcPr>
            <w:tcW w:w="1696" w:type="dxa"/>
            <w:vAlign w:val="center"/>
          </w:tcPr>
          <w:p w14:paraId="35F23B21" w14:textId="77777777" w:rsidR="0018473E" w:rsidRPr="00F635C4" w:rsidRDefault="00015EA5">
            <w:pPr>
              <w:tabs>
                <w:tab w:val="left" w:pos="1276"/>
              </w:tabs>
              <w:jc w:val="center"/>
            </w:pPr>
            <w:r w:rsidRPr="00F635C4">
              <w:t>Inercia</w:t>
            </w:r>
          </w:p>
        </w:tc>
        <w:tc>
          <w:tcPr>
            <w:tcW w:w="8103" w:type="dxa"/>
            <w:vAlign w:val="center"/>
          </w:tcPr>
          <w:p w14:paraId="28D3319D" w14:textId="77777777" w:rsidR="0018473E" w:rsidRPr="00F635C4" w:rsidRDefault="00015EA5">
            <w:pPr>
              <w:pBdr>
                <w:top w:val="nil"/>
                <w:left w:val="nil"/>
                <w:bottom w:val="nil"/>
                <w:right w:val="nil"/>
                <w:between w:val="nil"/>
              </w:pBdr>
              <w:tabs>
                <w:tab w:val="left" w:pos="1276"/>
              </w:tabs>
              <w:rPr>
                <w:color w:val="000000"/>
              </w:rPr>
            </w:pPr>
            <w:r w:rsidRPr="00F635C4">
              <w:t>Representa la inercia del mercado, es decir, un escenario sin incentivos. Se estima con base en el comportamiento histórico de las viviendas licenciadas bajo el tratamiento de renovación urbana, utilizando datos de la Secretaría Distrital de Planeación (2008-2023). Se utilizan los datos de licencias como proxy de las iniciaciones, toda vez que según estudios de la SDH, las licencias de construcción se ejecutan en el mismo año, evidenciando una correlación con las iniciaciones con un rezago de dos períodos (Secretaría Distrital del Hábitat, 2019, pág. 9) o una alta probabilidad de ejecución en el trimestre de referencia para licencias aprobadas en los seis meses previos (Secretaría Distrital del Hábitat, 2020)</w:t>
            </w:r>
          </w:p>
        </w:tc>
      </w:tr>
      <w:tr w:rsidR="0018473E" w:rsidRPr="00F635C4" w14:paraId="66AB2763" w14:textId="77777777">
        <w:trPr>
          <w:trHeight w:val="114"/>
          <w:jc w:val="center"/>
        </w:trPr>
        <w:tc>
          <w:tcPr>
            <w:tcW w:w="1696" w:type="dxa"/>
            <w:vAlign w:val="center"/>
          </w:tcPr>
          <w:p w14:paraId="627360C6" w14:textId="77777777" w:rsidR="0018473E" w:rsidRPr="00F635C4" w:rsidRDefault="00015EA5">
            <w:pPr>
              <w:tabs>
                <w:tab w:val="left" w:pos="1276"/>
              </w:tabs>
              <w:jc w:val="center"/>
            </w:pPr>
            <w:r w:rsidRPr="00F635C4">
              <w:t>Medio (Mayor probabilidad de ocurrencia)</w:t>
            </w:r>
          </w:p>
        </w:tc>
        <w:tc>
          <w:tcPr>
            <w:tcW w:w="8103" w:type="dxa"/>
            <w:vAlign w:val="center"/>
          </w:tcPr>
          <w:p w14:paraId="7F5478CC" w14:textId="77777777" w:rsidR="0018473E" w:rsidRPr="00F635C4" w:rsidRDefault="00015EA5">
            <w:pPr>
              <w:tabs>
                <w:tab w:val="left" w:pos="1276"/>
              </w:tabs>
            </w:pPr>
            <w:r w:rsidRPr="00F635C4">
              <w:t>Considera el aumento en las unidades de vivienda que se daría si se aprovecha la disponibilidad actual del suelo bajo tratamiento de renovación urbana. Se calcula multiplicando los valores anuales del Escenario 1 por un factor de 3.5, que corresponde al incremento porcentual del suelo destinado a renovación urbana, pasando del 6% en el POT 190 de 2004 al 21% en el POT 555 de 2021.</w:t>
            </w:r>
          </w:p>
        </w:tc>
      </w:tr>
      <w:tr w:rsidR="0018473E" w:rsidRPr="00F635C4" w14:paraId="2FE35742" w14:textId="77777777">
        <w:trPr>
          <w:trHeight w:val="114"/>
          <w:jc w:val="center"/>
        </w:trPr>
        <w:tc>
          <w:tcPr>
            <w:tcW w:w="1696" w:type="dxa"/>
            <w:vAlign w:val="center"/>
          </w:tcPr>
          <w:p w14:paraId="4F12F5C7" w14:textId="77777777" w:rsidR="0018473E" w:rsidRPr="00F635C4" w:rsidRDefault="00015EA5">
            <w:pPr>
              <w:tabs>
                <w:tab w:val="left" w:pos="1276"/>
              </w:tabs>
              <w:jc w:val="center"/>
            </w:pPr>
            <w:r w:rsidRPr="00F635C4">
              <w:t>Potencial</w:t>
            </w:r>
          </w:p>
        </w:tc>
        <w:tc>
          <w:tcPr>
            <w:tcW w:w="8103" w:type="dxa"/>
            <w:vAlign w:val="center"/>
          </w:tcPr>
          <w:p w14:paraId="256BB3F4" w14:textId="77777777" w:rsidR="0018473E" w:rsidRPr="00F635C4" w:rsidRDefault="00015EA5">
            <w:pPr>
              <w:tabs>
                <w:tab w:val="left" w:pos="1276"/>
              </w:tabs>
            </w:pPr>
            <w:r w:rsidRPr="00F635C4">
              <w:t>Representa el potencial de iniciación de viviendas nuevas en tratamiento de renovación, según lo estimado en el Plan del Hábitat y Servicios Públicos de Bogotá. Se calcula tomando las estimaciones del techo global de iniciaciones de vivienda del Plan del Hábitat y aplicando un factor del 50%, correspondiente al porcentaje de viviendas proyectadas en tratamiento de renovación urbana.</w:t>
            </w:r>
          </w:p>
        </w:tc>
      </w:tr>
    </w:tbl>
    <w:p w14:paraId="3F973A9F" w14:textId="77777777" w:rsidR="0018473E" w:rsidRPr="00F635C4" w:rsidRDefault="0018473E">
      <w:pPr>
        <w:jc w:val="both"/>
        <w:rPr>
          <w:rFonts w:ascii="Arial" w:eastAsia="Arial" w:hAnsi="Arial" w:cs="Arial"/>
          <w:b/>
          <w:sz w:val="22"/>
          <w:szCs w:val="22"/>
        </w:rPr>
      </w:pPr>
    </w:p>
    <w:p w14:paraId="27B0AFB8" w14:textId="77777777" w:rsidR="0018473E" w:rsidRPr="00F635C4" w:rsidRDefault="0018473E">
      <w:pPr>
        <w:jc w:val="both"/>
        <w:rPr>
          <w:rFonts w:ascii="Arial" w:eastAsia="Arial" w:hAnsi="Arial" w:cs="Arial"/>
          <w:b/>
          <w:sz w:val="22"/>
          <w:szCs w:val="22"/>
        </w:rPr>
      </w:pPr>
    </w:p>
    <w:p w14:paraId="4051E409" w14:textId="025A566E"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2.1.3.2. RESULTADOS</w:t>
      </w:r>
      <w:r w:rsidR="000079DA" w:rsidRPr="00F635C4">
        <w:rPr>
          <w:rFonts w:ascii="Arial" w:eastAsia="Arial" w:hAnsi="Arial" w:cs="Arial"/>
          <w:b/>
          <w:sz w:val="22"/>
          <w:szCs w:val="22"/>
        </w:rPr>
        <w:t xml:space="preserve"> DEL ANÁLISIS </w:t>
      </w:r>
      <w:r w:rsidR="00174080" w:rsidRPr="00F635C4">
        <w:rPr>
          <w:rFonts w:ascii="Arial" w:eastAsia="Arial" w:hAnsi="Arial" w:cs="Arial"/>
          <w:b/>
          <w:sz w:val="22"/>
          <w:szCs w:val="22"/>
        </w:rPr>
        <w:t>ELABORADO</w:t>
      </w:r>
      <w:r w:rsidR="000079DA" w:rsidRPr="00F635C4">
        <w:rPr>
          <w:rFonts w:ascii="Arial" w:eastAsia="Arial" w:hAnsi="Arial" w:cs="Arial"/>
          <w:b/>
          <w:sz w:val="22"/>
          <w:szCs w:val="22"/>
        </w:rPr>
        <w:t xml:space="preserve"> POR LA AUTORA</w:t>
      </w:r>
    </w:p>
    <w:p w14:paraId="20A5FDF8" w14:textId="77777777" w:rsidR="0018473E" w:rsidRPr="00F635C4" w:rsidRDefault="0018473E">
      <w:pPr>
        <w:jc w:val="both"/>
        <w:rPr>
          <w:rFonts w:ascii="Arial" w:eastAsia="Arial" w:hAnsi="Arial" w:cs="Arial"/>
          <w:b/>
          <w:sz w:val="22"/>
          <w:szCs w:val="22"/>
        </w:rPr>
      </w:pPr>
    </w:p>
    <w:p w14:paraId="1B0CDEA0" w14:textId="78610BEA" w:rsidR="0018473E" w:rsidRPr="00F635C4" w:rsidRDefault="00A66DC7">
      <w:pPr>
        <w:jc w:val="both"/>
        <w:rPr>
          <w:rFonts w:ascii="Arial" w:eastAsia="Arial" w:hAnsi="Arial" w:cs="Arial"/>
          <w:sz w:val="22"/>
          <w:szCs w:val="22"/>
        </w:rPr>
      </w:pPr>
      <w:r w:rsidRPr="00F635C4">
        <w:rPr>
          <w:rFonts w:ascii="Arial" w:eastAsia="Arial" w:hAnsi="Arial" w:cs="Arial"/>
          <w:sz w:val="22"/>
          <w:szCs w:val="22"/>
        </w:rPr>
        <w:t xml:space="preserve">Para la autora, el costo tributario de la medida se limita al total del impuesto predial que el distrito deja de percibir debido al descuento otorgado en las unidades de vivienda durante los diez años del beneficio. Sin embargo, los beneficios superan ampliamente estos costos, ya que incluyen ingresos provenientes del impuesto de delineación urbana, el ICA (por materiales y venta), el pago del impuesto predial descontado durante los primeros diez años y el predial completo posterior. Al proyectar el escenario más probable, se espera </w:t>
      </w:r>
      <w:r w:rsidR="00515EBA" w:rsidRPr="00F635C4">
        <w:rPr>
          <w:rFonts w:ascii="Arial" w:eastAsia="Arial" w:hAnsi="Arial" w:cs="Arial"/>
          <w:sz w:val="22"/>
          <w:szCs w:val="22"/>
        </w:rPr>
        <w:t>al</w:t>
      </w:r>
      <w:r w:rsidRPr="00F635C4">
        <w:rPr>
          <w:rFonts w:ascii="Arial" w:eastAsia="Arial" w:hAnsi="Arial" w:cs="Arial"/>
          <w:sz w:val="22"/>
          <w:szCs w:val="22"/>
        </w:rPr>
        <w:t xml:space="preserve"> inicio 138.048 viviendas bajo el tratamiento de renovación urbana en la próxima década, las cuales generarían un flujo de ingresos tributarios de $5.307.788 millones, mientras que los costos ascenderían a solo $371.464 millones, representando únicamente el 7% de los beneficios totales.</w:t>
      </w:r>
      <w:r w:rsidR="00015EA5" w:rsidRPr="00F635C4">
        <w:rPr>
          <w:rFonts w:ascii="Arial" w:eastAsia="Arial" w:hAnsi="Arial" w:cs="Arial"/>
          <w:sz w:val="22"/>
          <w:szCs w:val="22"/>
        </w:rPr>
        <w:t xml:space="preserve"> (Ver Tabla 3)</w:t>
      </w:r>
    </w:p>
    <w:p w14:paraId="57C55732" w14:textId="77777777" w:rsidR="0018473E" w:rsidRPr="00F635C4" w:rsidRDefault="0018473E">
      <w:pPr>
        <w:jc w:val="both"/>
        <w:rPr>
          <w:rFonts w:ascii="Arial" w:eastAsia="Arial" w:hAnsi="Arial" w:cs="Arial"/>
          <w:sz w:val="22"/>
          <w:szCs w:val="22"/>
        </w:rPr>
      </w:pPr>
    </w:p>
    <w:p w14:paraId="48AF0669" w14:textId="77777777" w:rsidR="0018473E" w:rsidRPr="00F635C4" w:rsidRDefault="00015EA5">
      <w:pPr>
        <w:jc w:val="center"/>
        <w:rPr>
          <w:rFonts w:ascii="Arial" w:eastAsia="Arial" w:hAnsi="Arial" w:cs="Arial"/>
          <w:b/>
          <w:i/>
          <w:sz w:val="22"/>
          <w:szCs w:val="22"/>
        </w:rPr>
      </w:pPr>
      <w:r w:rsidRPr="00F635C4">
        <w:rPr>
          <w:rFonts w:ascii="Arial" w:eastAsia="Arial" w:hAnsi="Arial" w:cs="Arial"/>
          <w:b/>
          <w:i/>
          <w:sz w:val="22"/>
          <w:szCs w:val="22"/>
        </w:rPr>
        <w:t>Tabla 3. Análisis de costos y beneficios fiscales-Escenario medio. Cifras en millones de pesos corrientes</w:t>
      </w:r>
    </w:p>
    <w:p w14:paraId="7D95BD89" w14:textId="77777777" w:rsidR="0018473E" w:rsidRPr="00F635C4" w:rsidRDefault="0018473E">
      <w:pPr>
        <w:jc w:val="center"/>
        <w:rPr>
          <w:rFonts w:ascii="Arial" w:eastAsia="Arial" w:hAnsi="Arial" w:cs="Arial"/>
          <w:b/>
          <w:i/>
          <w:sz w:val="22"/>
          <w:szCs w:val="22"/>
        </w:rPr>
      </w:pPr>
    </w:p>
    <w:tbl>
      <w:tblPr>
        <w:tblStyle w:val="a4"/>
        <w:tblW w:w="9947"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600" w:firstRow="0" w:lastRow="0" w:firstColumn="0" w:lastColumn="0" w:noHBand="1" w:noVBand="1"/>
      </w:tblPr>
      <w:tblGrid>
        <w:gridCol w:w="648"/>
        <w:gridCol w:w="1042"/>
        <w:gridCol w:w="1204"/>
        <w:gridCol w:w="1003"/>
        <w:gridCol w:w="1377"/>
        <w:gridCol w:w="1112"/>
        <w:gridCol w:w="1005"/>
        <w:gridCol w:w="1331"/>
        <w:gridCol w:w="1225"/>
      </w:tblGrid>
      <w:tr w:rsidR="0018473E" w:rsidRPr="00F635C4" w14:paraId="6AEFAEC6" w14:textId="77777777">
        <w:trPr>
          <w:trHeight w:val="308"/>
        </w:trPr>
        <w:tc>
          <w:tcPr>
            <w:tcW w:w="648" w:type="dxa"/>
            <w:vMerge w:val="restart"/>
            <w:shd w:val="clear" w:color="auto" w:fill="F2F2F2"/>
            <w:vAlign w:val="center"/>
          </w:tcPr>
          <w:p w14:paraId="74953756" w14:textId="77777777" w:rsidR="0018473E" w:rsidRPr="00F635C4" w:rsidRDefault="00015EA5">
            <w:pPr>
              <w:jc w:val="center"/>
              <w:rPr>
                <w:b/>
                <w:sz w:val="16"/>
                <w:szCs w:val="16"/>
              </w:rPr>
            </w:pPr>
            <w:r w:rsidRPr="00F635C4">
              <w:rPr>
                <w:b/>
                <w:color w:val="000000"/>
                <w:sz w:val="16"/>
                <w:szCs w:val="16"/>
              </w:rPr>
              <w:t xml:space="preserve">Año t </w:t>
            </w:r>
          </w:p>
        </w:tc>
        <w:tc>
          <w:tcPr>
            <w:tcW w:w="1042" w:type="dxa"/>
            <w:vMerge w:val="restart"/>
            <w:shd w:val="clear" w:color="auto" w:fill="F2F2F2"/>
            <w:vAlign w:val="center"/>
          </w:tcPr>
          <w:p w14:paraId="1B78E724" w14:textId="77777777" w:rsidR="0018473E" w:rsidRPr="00F635C4" w:rsidRDefault="00015EA5">
            <w:pPr>
              <w:jc w:val="center"/>
              <w:rPr>
                <w:b/>
                <w:sz w:val="16"/>
                <w:szCs w:val="16"/>
              </w:rPr>
            </w:pPr>
            <w:r w:rsidRPr="00F635C4">
              <w:rPr>
                <w:b/>
                <w:sz w:val="16"/>
                <w:szCs w:val="16"/>
              </w:rPr>
              <w:t>Total viviendas</w:t>
            </w:r>
          </w:p>
        </w:tc>
        <w:tc>
          <w:tcPr>
            <w:tcW w:w="1204" w:type="dxa"/>
            <w:vMerge w:val="restart"/>
            <w:shd w:val="clear" w:color="auto" w:fill="F2F2F2"/>
            <w:vAlign w:val="center"/>
          </w:tcPr>
          <w:p w14:paraId="0847FE2A" w14:textId="77777777" w:rsidR="0018473E" w:rsidRPr="00F635C4" w:rsidRDefault="00015EA5">
            <w:pPr>
              <w:jc w:val="center"/>
              <w:rPr>
                <w:b/>
                <w:sz w:val="16"/>
                <w:szCs w:val="16"/>
              </w:rPr>
            </w:pPr>
            <w:r w:rsidRPr="00F635C4">
              <w:rPr>
                <w:b/>
                <w:color w:val="000000"/>
                <w:sz w:val="16"/>
                <w:szCs w:val="16"/>
              </w:rPr>
              <w:t>Viviendas adicionales</w:t>
            </w:r>
          </w:p>
        </w:tc>
        <w:tc>
          <w:tcPr>
            <w:tcW w:w="1003" w:type="dxa"/>
            <w:vMerge w:val="restart"/>
            <w:shd w:val="clear" w:color="auto" w:fill="F2F2F2"/>
            <w:vAlign w:val="center"/>
          </w:tcPr>
          <w:p w14:paraId="4CEE3992" w14:textId="77777777" w:rsidR="0018473E" w:rsidRPr="00F635C4" w:rsidRDefault="00015EA5">
            <w:pPr>
              <w:jc w:val="center"/>
              <w:rPr>
                <w:sz w:val="16"/>
                <w:szCs w:val="16"/>
              </w:rPr>
            </w:pPr>
            <w:r w:rsidRPr="00F635C4">
              <w:rPr>
                <w:b/>
                <w:color w:val="C00000"/>
                <w:sz w:val="16"/>
                <w:szCs w:val="16"/>
              </w:rPr>
              <w:t>Costo predial</w:t>
            </w:r>
          </w:p>
        </w:tc>
        <w:tc>
          <w:tcPr>
            <w:tcW w:w="6050" w:type="dxa"/>
            <w:gridSpan w:val="5"/>
            <w:shd w:val="clear" w:color="auto" w:fill="F2F2F2"/>
            <w:vAlign w:val="center"/>
          </w:tcPr>
          <w:p w14:paraId="6A23653C" w14:textId="77777777" w:rsidR="0018473E" w:rsidRPr="00F635C4" w:rsidRDefault="00015EA5">
            <w:pPr>
              <w:jc w:val="center"/>
              <w:rPr>
                <w:sz w:val="16"/>
                <w:szCs w:val="16"/>
              </w:rPr>
            </w:pPr>
            <w:r w:rsidRPr="00F635C4">
              <w:rPr>
                <w:b/>
                <w:color w:val="00B050"/>
                <w:sz w:val="16"/>
                <w:szCs w:val="16"/>
              </w:rPr>
              <w:t>Beneficios</w:t>
            </w:r>
          </w:p>
        </w:tc>
      </w:tr>
      <w:tr w:rsidR="0018473E" w:rsidRPr="00F635C4" w14:paraId="4A23FCA2" w14:textId="77777777">
        <w:trPr>
          <w:trHeight w:val="224"/>
        </w:trPr>
        <w:tc>
          <w:tcPr>
            <w:tcW w:w="648" w:type="dxa"/>
            <w:vMerge/>
            <w:shd w:val="clear" w:color="auto" w:fill="F2F2F2"/>
            <w:vAlign w:val="center"/>
          </w:tcPr>
          <w:p w14:paraId="0810C510" w14:textId="77777777" w:rsidR="0018473E" w:rsidRPr="00F635C4" w:rsidRDefault="0018473E">
            <w:pPr>
              <w:widowControl w:val="0"/>
              <w:pBdr>
                <w:top w:val="nil"/>
                <w:left w:val="nil"/>
                <w:bottom w:val="nil"/>
                <w:right w:val="nil"/>
                <w:between w:val="nil"/>
              </w:pBdr>
              <w:spacing w:line="276" w:lineRule="auto"/>
              <w:jc w:val="left"/>
              <w:rPr>
                <w:sz w:val="16"/>
                <w:szCs w:val="16"/>
              </w:rPr>
            </w:pPr>
          </w:p>
        </w:tc>
        <w:tc>
          <w:tcPr>
            <w:tcW w:w="1042" w:type="dxa"/>
            <w:vMerge/>
            <w:shd w:val="clear" w:color="auto" w:fill="F2F2F2"/>
            <w:vAlign w:val="center"/>
          </w:tcPr>
          <w:p w14:paraId="0664B648" w14:textId="77777777" w:rsidR="0018473E" w:rsidRPr="00F635C4" w:rsidRDefault="0018473E">
            <w:pPr>
              <w:widowControl w:val="0"/>
              <w:pBdr>
                <w:top w:val="nil"/>
                <w:left w:val="nil"/>
                <w:bottom w:val="nil"/>
                <w:right w:val="nil"/>
                <w:between w:val="nil"/>
              </w:pBdr>
              <w:spacing w:line="276" w:lineRule="auto"/>
              <w:jc w:val="left"/>
              <w:rPr>
                <w:sz w:val="16"/>
                <w:szCs w:val="16"/>
              </w:rPr>
            </w:pPr>
          </w:p>
        </w:tc>
        <w:tc>
          <w:tcPr>
            <w:tcW w:w="1204" w:type="dxa"/>
            <w:vMerge/>
            <w:shd w:val="clear" w:color="auto" w:fill="F2F2F2"/>
            <w:vAlign w:val="center"/>
          </w:tcPr>
          <w:p w14:paraId="60B195DC" w14:textId="77777777" w:rsidR="0018473E" w:rsidRPr="00F635C4" w:rsidRDefault="0018473E">
            <w:pPr>
              <w:widowControl w:val="0"/>
              <w:pBdr>
                <w:top w:val="nil"/>
                <w:left w:val="nil"/>
                <w:bottom w:val="nil"/>
                <w:right w:val="nil"/>
                <w:between w:val="nil"/>
              </w:pBdr>
              <w:spacing w:line="276" w:lineRule="auto"/>
              <w:jc w:val="left"/>
              <w:rPr>
                <w:sz w:val="16"/>
                <w:szCs w:val="16"/>
              </w:rPr>
            </w:pPr>
          </w:p>
        </w:tc>
        <w:tc>
          <w:tcPr>
            <w:tcW w:w="1003" w:type="dxa"/>
            <w:vMerge/>
            <w:shd w:val="clear" w:color="auto" w:fill="F2F2F2"/>
            <w:vAlign w:val="center"/>
          </w:tcPr>
          <w:p w14:paraId="17CF117C" w14:textId="77777777" w:rsidR="0018473E" w:rsidRPr="00F635C4" w:rsidRDefault="0018473E">
            <w:pPr>
              <w:widowControl w:val="0"/>
              <w:pBdr>
                <w:top w:val="nil"/>
                <w:left w:val="nil"/>
                <w:bottom w:val="nil"/>
                <w:right w:val="nil"/>
                <w:between w:val="nil"/>
              </w:pBdr>
              <w:spacing w:line="276" w:lineRule="auto"/>
              <w:jc w:val="left"/>
              <w:rPr>
                <w:sz w:val="16"/>
                <w:szCs w:val="16"/>
              </w:rPr>
            </w:pPr>
          </w:p>
        </w:tc>
        <w:tc>
          <w:tcPr>
            <w:tcW w:w="1377" w:type="dxa"/>
            <w:shd w:val="clear" w:color="auto" w:fill="F2F2F2"/>
            <w:vAlign w:val="center"/>
          </w:tcPr>
          <w:p w14:paraId="7DDE7F7C" w14:textId="77777777" w:rsidR="0018473E" w:rsidRPr="00F635C4" w:rsidRDefault="00015EA5">
            <w:pPr>
              <w:jc w:val="center"/>
              <w:rPr>
                <w:sz w:val="16"/>
                <w:szCs w:val="16"/>
              </w:rPr>
            </w:pPr>
            <w:r w:rsidRPr="00F635C4">
              <w:rPr>
                <w:b/>
                <w:color w:val="00B050"/>
                <w:sz w:val="16"/>
                <w:szCs w:val="16"/>
              </w:rPr>
              <w:t>Delineación Urbana</w:t>
            </w:r>
          </w:p>
        </w:tc>
        <w:tc>
          <w:tcPr>
            <w:tcW w:w="1112" w:type="dxa"/>
            <w:shd w:val="clear" w:color="auto" w:fill="F2F2F2"/>
            <w:vAlign w:val="center"/>
          </w:tcPr>
          <w:p w14:paraId="5BCDB626" w14:textId="77777777" w:rsidR="0018473E" w:rsidRPr="00F635C4" w:rsidRDefault="00015EA5">
            <w:pPr>
              <w:jc w:val="center"/>
              <w:rPr>
                <w:sz w:val="16"/>
                <w:szCs w:val="16"/>
              </w:rPr>
            </w:pPr>
            <w:r w:rsidRPr="00F635C4">
              <w:rPr>
                <w:b/>
                <w:color w:val="00B050"/>
                <w:sz w:val="16"/>
                <w:szCs w:val="16"/>
              </w:rPr>
              <w:t>ICA materiales</w:t>
            </w:r>
          </w:p>
        </w:tc>
        <w:tc>
          <w:tcPr>
            <w:tcW w:w="1005" w:type="dxa"/>
            <w:shd w:val="clear" w:color="auto" w:fill="F2F2F2"/>
            <w:vAlign w:val="center"/>
          </w:tcPr>
          <w:p w14:paraId="7DD1C49D" w14:textId="77777777" w:rsidR="0018473E" w:rsidRPr="00F635C4" w:rsidRDefault="00015EA5">
            <w:pPr>
              <w:jc w:val="center"/>
              <w:rPr>
                <w:sz w:val="16"/>
                <w:szCs w:val="16"/>
              </w:rPr>
            </w:pPr>
            <w:r w:rsidRPr="00F635C4">
              <w:rPr>
                <w:b/>
                <w:color w:val="00B050"/>
                <w:sz w:val="16"/>
                <w:szCs w:val="16"/>
              </w:rPr>
              <w:t>ICA venta</w:t>
            </w:r>
          </w:p>
        </w:tc>
        <w:tc>
          <w:tcPr>
            <w:tcW w:w="1331" w:type="dxa"/>
            <w:shd w:val="clear" w:color="auto" w:fill="F2F2F2"/>
            <w:vAlign w:val="center"/>
          </w:tcPr>
          <w:p w14:paraId="7370C20E" w14:textId="77777777" w:rsidR="0018473E" w:rsidRPr="00F635C4" w:rsidRDefault="00015EA5">
            <w:pPr>
              <w:jc w:val="center"/>
              <w:rPr>
                <w:sz w:val="16"/>
                <w:szCs w:val="16"/>
              </w:rPr>
            </w:pPr>
            <w:r w:rsidRPr="00F635C4">
              <w:rPr>
                <w:b/>
                <w:color w:val="00B050"/>
                <w:sz w:val="16"/>
                <w:szCs w:val="16"/>
              </w:rPr>
              <w:t>Predial descuento</w:t>
            </w:r>
          </w:p>
        </w:tc>
        <w:tc>
          <w:tcPr>
            <w:tcW w:w="1225" w:type="dxa"/>
            <w:shd w:val="clear" w:color="auto" w:fill="F2F2F2"/>
            <w:vAlign w:val="center"/>
          </w:tcPr>
          <w:p w14:paraId="47D17937" w14:textId="77777777" w:rsidR="0018473E" w:rsidRPr="00F635C4" w:rsidRDefault="00015EA5">
            <w:pPr>
              <w:jc w:val="center"/>
              <w:rPr>
                <w:sz w:val="16"/>
                <w:szCs w:val="16"/>
              </w:rPr>
            </w:pPr>
            <w:r w:rsidRPr="00F635C4">
              <w:rPr>
                <w:b/>
                <w:color w:val="00B050"/>
                <w:sz w:val="16"/>
                <w:szCs w:val="16"/>
              </w:rPr>
              <w:t xml:space="preserve">Total </w:t>
            </w:r>
          </w:p>
        </w:tc>
      </w:tr>
      <w:tr w:rsidR="0018473E" w:rsidRPr="00F635C4" w14:paraId="284119D9" w14:textId="77777777">
        <w:trPr>
          <w:trHeight w:val="308"/>
        </w:trPr>
        <w:tc>
          <w:tcPr>
            <w:tcW w:w="648" w:type="dxa"/>
            <w:vAlign w:val="center"/>
          </w:tcPr>
          <w:p w14:paraId="619FC1E5" w14:textId="77777777" w:rsidR="0018473E" w:rsidRPr="00F635C4" w:rsidRDefault="00015EA5">
            <w:pPr>
              <w:jc w:val="center"/>
              <w:rPr>
                <w:sz w:val="16"/>
                <w:szCs w:val="16"/>
              </w:rPr>
            </w:pPr>
            <w:r w:rsidRPr="00F635C4">
              <w:rPr>
                <w:color w:val="000000"/>
                <w:sz w:val="16"/>
                <w:szCs w:val="16"/>
              </w:rPr>
              <w:lastRenderedPageBreak/>
              <w:t>1</w:t>
            </w:r>
          </w:p>
        </w:tc>
        <w:tc>
          <w:tcPr>
            <w:tcW w:w="1042" w:type="dxa"/>
            <w:vAlign w:val="center"/>
          </w:tcPr>
          <w:p w14:paraId="48DE4F60" w14:textId="77777777" w:rsidR="0018473E" w:rsidRPr="00F635C4" w:rsidRDefault="00015EA5">
            <w:pPr>
              <w:jc w:val="center"/>
              <w:rPr>
                <w:sz w:val="16"/>
                <w:szCs w:val="16"/>
              </w:rPr>
            </w:pPr>
            <w:r w:rsidRPr="00F635C4">
              <w:rPr>
                <w:color w:val="000000"/>
                <w:sz w:val="16"/>
                <w:szCs w:val="16"/>
              </w:rPr>
              <w:t>11.485</w:t>
            </w:r>
          </w:p>
        </w:tc>
        <w:tc>
          <w:tcPr>
            <w:tcW w:w="1204" w:type="dxa"/>
            <w:vAlign w:val="center"/>
          </w:tcPr>
          <w:p w14:paraId="1397DFE8" w14:textId="77777777" w:rsidR="0018473E" w:rsidRPr="00F635C4" w:rsidRDefault="00015EA5">
            <w:pPr>
              <w:jc w:val="center"/>
              <w:rPr>
                <w:sz w:val="16"/>
                <w:szCs w:val="16"/>
              </w:rPr>
            </w:pPr>
            <w:r w:rsidRPr="00F635C4">
              <w:rPr>
                <w:color w:val="000000"/>
                <w:sz w:val="16"/>
                <w:szCs w:val="16"/>
              </w:rPr>
              <w:t>7.855</w:t>
            </w:r>
          </w:p>
        </w:tc>
        <w:tc>
          <w:tcPr>
            <w:tcW w:w="1003" w:type="dxa"/>
            <w:vAlign w:val="center"/>
          </w:tcPr>
          <w:p w14:paraId="44758C71" w14:textId="77777777" w:rsidR="0018473E" w:rsidRPr="00F635C4" w:rsidRDefault="00015EA5">
            <w:pPr>
              <w:jc w:val="center"/>
              <w:rPr>
                <w:sz w:val="16"/>
                <w:szCs w:val="16"/>
              </w:rPr>
            </w:pPr>
            <w:r w:rsidRPr="00F635C4">
              <w:rPr>
                <w:color w:val="000000"/>
                <w:sz w:val="16"/>
                <w:szCs w:val="16"/>
              </w:rPr>
              <w:t>$ 0</w:t>
            </w:r>
          </w:p>
        </w:tc>
        <w:tc>
          <w:tcPr>
            <w:tcW w:w="1377" w:type="dxa"/>
            <w:vAlign w:val="center"/>
          </w:tcPr>
          <w:p w14:paraId="6C9997A0" w14:textId="77777777" w:rsidR="0018473E" w:rsidRPr="00F635C4" w:rsidRDefault="00015EA5">
            <w:pPr>
              <w:jc w:val="center"/>
              <w:rPr>
                <w:sz w:val="16"/>
                <w:szCs w:val="16"/>
              </w:rPr>
            </w:pPr>
            <w:r w:rsidRPr="00F635C4">
              <w:rPr>
                <w:color w:val="000000"/>
                <w:sz w:val="16"/>
                <w:szCs w:val="16"/>
              </w:rPr>
              <w:t>$ 24.852</w:t>
            </w:r>
          </w:p>
        </w:tc>
        <w:tc>
          <w:tcPr>
            <w:tcW w:w="1112" w:type="dxa"/>
            <w:vAlign w:val="center"/>
          </w:tcPr>
          <w:p w14:paraId="5B5AC764" w14:textId="77777777" w:rsidR="0018473E" w:rsidRPr="00F635C4" w:rsidRDefault="00015EA5">
            <w:pPr>
              <w:jc w:val="center"/>
              <w:rPr>
                <w:sz w:val="16"/>
                <w:szCs w:val="16"/>
              </w:rPr>
            </w:pPr>
            <w:r w:rsidRPr="00F635C4">
              <w:rPr>
                <w:color w:val="000000"/>
                <w:sz w:val="16"/>
                <w:szCs w:val="16"/>
              </w:rPr>
              <w:t>$ 13.052</w:t>
            </w:r>
          </w:p>
        </w:tc>
        <w:tc>
          <w:tcPr>
            <w:tcW w:w="1005" w:type="dxa"/>
            <w:vAlign w:val="center"/>
          </w:tcPr>
          <w:p w14:paraId="44A02151" w14:textId="77777777" w:rsidR="0018473E" w:rsidRPr="00F635C4" w:rsidRDefault="00015EA5">
            <w:pPr>
              <w:jc w:val="center"/>
              <w:rPr>
                <w:sz w:val="16"/>
                <w:szCs w:val="16"/>
              </w:rPr>
            </w:pPr>
            <w:r w:rsidRPr="00F635C4">
              <w:rPr>
                <w:color w:val="000000"/>
                <w:sz w:val="16"/>
                <w:szCs w:val="16"/>
              </w:rPr>
              <w:t>$ 0</w:t>
            </w:r>
          </w:p>
        </w:tc>
        <w:tc>
          <w:tcPr>
            <w:tcW w:w="1331" w:type="dxa"/>
            <w:vAlign w:val="center"/>
          </w:tcPr>
          <w:p w14:paraId="4E2B0009" w14:textId="77777777" w:rsidR="0018473E" w:rsidRPr="00F635C4" w:rsidRDefault="00015EA5">
            <w:pPr>
              <w:jc w:val="center"/>
              <w:rPr>
                <w:sz w:val="16"/>
                <w:szCs w:val="16"/>
              </w:rPr>
            </w:pPr>
            <w:r w:rsidRPr="00F635C4">
              <w:rPr>
                <w:color w:val="000000"/>
                <w:sz w:val="16"/>
                <w:szCs w:val="16"/>
              </w:rPr>
              <w:t>$ 0</w:t>
            </w:r>
          </w:p>
        </w:tc>
        <w:tc>
          <w:tcPr>
            <w:tcW w:w="1225" w:type="dxa"/>
            <w:vAlign w:val="center"/>
          </w:tcPr>
          <w:p w14:paraId="62AD2A6A" w14:textId="77777777" w:rsidR="0018473E" w:rsidRPr="00F635C4" w:rsidRDefault="00015EA5">
            <w:pPr>
              <w:jc w:val="center"/>
              <w:rPr>
                <w:sz w:val="16"/>
                <w:szCs w:val="16"/>
              </w:rPr>
            </w:pPr>
            <w:r w:rsidRPr="00F635C4">
              <w:rPr>
                <w:color w:val="000000"/>
                <w:sz w:val="16"/>
                <w:szCs w:val="16"/>
              </w:rPr>
              <w:t>$ 37.903</w:t>
            </w:r>
          </w:p>
        </w:tc>
      </w:tr>
      <w:tr w:rsidR="0018473E" w:rsidRPr="00F635C4" w14:paraId="5B28E28E" w14:textId="77777777">
        <w:trPr>
          <w:trHeight w:val="308"/>
        </w:trPr>
        <w:tc>
          <w:tcPr>
            <w:tcW w:w="648" w:type="dxa"/>
            <w:vAlign w:val="center"/>
          </w:tcPr>
          <w:p w14:paraId="64895E8A" w14:textId="77777777" w:rsidR="0018473E" w:rsidRPr="00F635C4" w:rsidRDefault="00015EA5">
            <w:pPr>
              <w:jc w:val="center"/>
              <w:rPr>
                <w:sz w:val="16"/>
                <w:szCs w:val="16"/>
              </w:rPr>
            </w:pPr>
            <w:r w:rsidRPr="00F635C4">
              <w:rPr>
                <w:color w:val="000000"/>
                <w:sz w:val="16"/>
                <w:szCs w:val="16"/>
              </w:rPr>
              <w:t>2</w:t>
            </w:r>
          </w:p>
        </w:tc>
        <w:tc>
          <w:tcPr>
            <w:tcW w:w="1042" w:type="dxa"/>
            <w:vAlign w:val="center"/>
          </w:tcPr>
          <w:p w14:paraId="04FCC3A1" w14:textId="77777777" w:rsidR="0018473E" w:rsidRPr="00F635C4" w:rsidRDefault="00015EA5">
            <w:pPr>
              <w:jc w:val="center"/>
              <w:rPr>
                <w:sz w:val="16"/>
                <w:szCs w:val="16"/>
              </w:rPr>
            </w:pPr>
            <w:r w:rsidRPr="00F635C4">
              <w:rPr>
                <w:color w:val="000000"/>
                <w:sz w:val="16"/>
                <w:szCs w:val="16"/>
              </w:rPr>
              <w:t>12.001</w:t>
            </w:r>
          </w:p>
        </w:tc>
        <w:tc>
          <w:tcPr>
            <w:tcW w:w="1204" w:type="dxa"/>
            <w:vAlign w:val="center"/>
          </w:tcPr>
          <w:p w14:paraId="6FE9B5C0" w14:textId="77777777" w:rsidR="0018473E" w:rsidRPr="00F635C4" w:rsidRDefault="00015EA5">
            <w:pPr>
              <w:jc w:val="center"/>
              <w:rPr>
                <w:sz w:val="16"/>
                <w:szCs w:val="16"/>
              </w:rPr>
            </w:pPr>
            <w:r w:rsidRPr="00F635C4">
              <w:rPr>
                <w:color w:val="000000"/>
                <w:sz w:val="16"/>
                <w:szCs w:val="16"/>
              </w:rPr>
              <w:t>8.208</w:t>
            </w:r>
          </w:p>
        </w:tc>
        <w:tc>
          <w:tcPr>
            <w:tcW w:w="1003" w:type="dxa"/>
            <w:vAlign w:val="center"/>
          </w:tcPr>
          <w:p w14:paraId="73EE84C7" w14:textId="77777777" w:rsidR="0018473E" w:rsidRPr="00F635C4" w:rsidRDefault="00015EA5">
            <w:pPr>
              <w:jc w:val="center"/>
              <w:rPr>
                <w:sz w:val="16"/>
                <w:szCs w:val="16"/>
              </w:rPr>
            </w:pPr>
            <w:r w:rsidRPr="00F635C4">
              <w:rPr>
                <w:color w:val="000000"/>
                <w:sz w:val="16"/>
                <w:szCs w:val="16"/>
              </w:rPr>
              <w:t>$ 0</w:t>
            </w:r>
          </w:p>
        </w:tc>
        <w:tc>
          <w:tcPr>
            <w:tcW w:w="1377" w:type="dxa"/>
            <w:vAlign w:val="center"/>
          </w:tcPr>
          <w:p w14:paraId="2068B437" w14:textId="77777777" w:rsidR="0018473E" w:rsidRPr="00F635C4" w:rsidRDefault="00015EA5">
            <w:pPr>
              <w:jc w:val="center"/>
              <w:rPr>
                <w:sz w:val="16"/>
                <w:szCs w:val="16"/>
              </w:rPr>
            </w:pPr>
            <w:r w:rsidRPr="00F635C4">
              <w:rPr>
                <w:color w:val="000000"/>
                <w:sz w:val="16"/>
                <w:szCs w:val="16"/>
              </w:rPr>
              <w:t>$ 26.904</w:t>
            </w:r>
          </w:p>
        </w:tc>
        <w:tc>
          <w:tcPr>
            <w:tcW w:w="1112" w:type="dxa"/>
            <w:vAlign w:val="center"/>
          </w:tcPr>
          <w:p w14:paraId="6BD66770" w14:textId="77777777" w:rsidR="0018473E" w:rsidRPr="00F635C4" w:rsidRDefault="00015EA5">
            <w:pPr>
              <w:jc w:val="center"/>
              <w:rPr>
                <w:sz w:val="16"/>
                <w:szCs w:val="16"/>
              </w:rPr>
            </w:pPr>
            <w:r w:rsidRPr="00F635C4">
              <w:rPr>
                <w:color w:val="000000"/>
                <w:sz w:val="16"/>
                <w:szCs w:val="16"/>
              </w:rPr>
              <w:t>$ 14.130</w:t>
            </w:r>
          </w:p>
        </w:tc>
        <w:tc>
          <w:tcPr>
            <w:tcW w:w="1005" w:type="dxa"/>
            <w:vAlign w:val="center"/>
          </w:tcPr>
          <w:p w14:paraId="1B4B1C24" w14:textId="77777777" w:rsidR="0018473E" w:rsidRPr="00F635C4" w:rsidRDefault="00015EA5">
            <w:pPr>
              <w:jc w:val="center"/>
              <w:rPr>
                <w:sz w:val="16"/>
                <w:szCs w:val="16"/>
              </w:rPr>
            </w:pPr>
            <w:r w:rsidRPr="00F635C4">
              <w:rPr>
                <w:color w:val="000000"/>
                <w:sz w:val="16"/>
                <w:szCs w:val="16"/>
              </w:rPr>
              <w:t>$ 33.639</w:t>
            </w:r>
          </w:p>
        </w:tc>
        <w:tc>
          <w:tcPr>
            <w:tcW w:w="1331" w:type="dxa"/>
            <w:vAlign w:val="center"/>
          </w:tcPr>
          <w:p w14:paraId="2B834CA6" w14:textId="77777777" w:rsidR="0018473E" w:rsidRPr="00F635C4" w:rsidRDefault="00015EA5">
            <w:pPr>
              <w:jc w:val="center"/>
              <w:rPr>
                <w:sz w:val="16"/>
                <w:szCs w:val="16"/>
              </w:rPr>
            </w:pPr>
            <w:r w:rsidRPr="00F635C4">
              <w:rPr>
                <w:color w:val="000000"/>
                <w:sz w:val="16"/>
                <w:szCs w:val="16"/>
              </w:rPr>
              <w:t>$ 0</w:t>
            </w:r>
          </w:p>
        </w:tc>
        <w:tc>
          <w:tcPr>
            <w:tcW w:w="1225" w:type="dxa"/>
            <w:vAlign w:val="center"/>
          </w:tcPr>
          <w:p w14:paraId="67203F4A" w14:textId="77777777" w:rsidR="0018473E" w:rsidRPr="00F635C4" w:rsidRDefault="00015EA5">
            <w:pPr>
              <w:jc w:val="center"/>
              <w:rPr>
                <w:sz w:val="16"/>
                <w:szCs w:val="16"/>
              </w:rPr>
            </w:pPr>
            <w:r w:rsidRPr="00F635C4">
              <w:rPr>
                <w:color w:val="000000"/>
                <w:sz w:val="16"/>
                <w:szCs w:val="16"/>
              </w:rPr>
              <w:t>$ 74.673</w:t>
            </w:r>
          </w:p>
        </w:tc>
      </w:tr>
      <w:tr w:rsidR="0018473E" w:rsidRPr="00F635C4" w14:paraId="3E15F41D" w14:textId="77777777">
        <w:trPr>
          <w:trHeight w:val="308"/>
        </w:trPr>
        <w:tc>
          <w:tcPr>
            <w:tcW w:w="648" w:type="dxa"/>
            <w:vAlign w:val="center"/>
          </w:tcPr>
          <w:p w14:paraId="4A885846" w14:textId="77777777" w:rsidR="0018473E" w:rsidRPr="00F635C4" w:rsidRDefault="00015EA5">
            <w:pPr>
              <w:jc w:val="center"/>
              <w:rPr>
                <w:sz w:val="16"/>
                <w:szCs w:val="16"/>
              </w:rPr>
            </w:pPr>
            <w:r w:rsidRPr="00F635C4">
              <w:rPr>
                <w:color w:val="000000"/>
                <w:sz w:val="16"/>
                <w:szCs w:val="16"/>
              </w:rPr>
              <w:t>3</w:t>
            </w:r>
          </w:p>
        </w:tc>
        <w:tc>
          <w:tcPr>
            <w:tcW w:w="1042" w:type="dxa"/>
            <w:vAlign w:val="center"/>
          </w:tcPr>
          <w:p w14:paraId="6BAF447A" w14:textId="77777777" w:rsidR="0018473E" w:rsidRPr="00F635C4" w:rsidRDefault="00015EA5">
            <w:pPr>
              <w:jc w:val="center"/>
              <w:rPr>
                <w:sz w:val="16"/>
                <w:szCs w:val="16"/>
              </w:rPr>
            </w:pPr>
            <w:r w:rsidRPr="00F635C4">
              <w:rPr>
                <w:color w:val="000000"/>
                <w:sz w:val="16"/>
                <w:szCs w:val="16"/>
              </w:rPr>
              <w:t>12.516</w:t>
            </w:r>
          </w:p>
        </w:tc>
        <w:tc>
          <w:tcPr>
            <w:tcW w:w="1204" w:type="dxa"/>
            <w:vAlign w:val="center"/>
          </w:tcPr>
          <w:p w14:paraId="3DE2EE5D" w14:textId="77777777" w:rsidR="0018473E" w:rsidRPr="00F635C4" w:rsidRDefault="00015EA5">
            <w:pPr>
              <w:jc w:val="center"/>
              <w:rPr>
                <w:sz w:val="16"/>
                <w:szCs w:val="16"/>
              </w:rPr>
            </w:pPr>
            <w:r w:rsidRPr="00F635C4">
              <w:rPr>
                <w:color w:val="000000"/>
                <w:sz w:val="16"/>
                <w:szCs w:val="16"/>
              </w:rPr>
              <w:t>8.561</w:t>
            </w:r>
          </w:p>
        </w:tc>
        <w:tc>
          <w:tcPr>
            <w:tcW w:w="1003" w:type="dxa"/>
            <w:vAlign w:val="center"/>
          </w:tcPr>
          <w:p w14:paraId="45DF2AF2" w14:textId="77777777" w:rsidR="0018473E" w:rsidRPr="00F635C4" w:rsidRDefault="00015EA5">
            <w:pPr>
              <w:jc w:val="center"/>
              <w:rPr>
                <w:sz w:val="16"/>
                <w:szCs w:val="16"/>
              </w:rPr>
            </w:pPr>
            <w:r w:rsidRPr="00F635C4">
              <w:rPr>
                <w:color w:val="000000"/>
                <w:sz w:val="16"/>
                <w:szCs w:val="16"/>
              </w:rPr>
              <w:t>$ 2.062</w:t>
            </w:r>
          </w:p>
        </w:tc>
        <w:tc>
          <w:tcPr>
            <w:tcW w:w="1377" w:type="dxa"/>
            <w:vAlign w:val="center"/>
          </w:tcPr>
          <w:p w14:paraId="1D7F527E" w14:textId="77777777" w:rsidR="0018473E" w:rsidRPr="00F635C4" w:rsidRDefault="00015EA5">
            <w:pPr>
              <w:jc w:val="center"/>
              <w:rPr>
                <w:sz w:val="16"/>
                <w:szCs w:val="16"/>
              </w:rPr>
            </w:pPr>
            <w:r w:rsidRPr="00F635C4">
              <w:rPr>
                <w:color w:val="000000"/>
                <w:sz w:val="16"/>
                <w:szCs w:val="16"/>
              </w:rPr>
              <w:t>$ 28.902</w:t>
            </w:r>
          </w:p>
        </w:tc>
        <w:tc>
          <w:tcPr>
            <w:tcW w:w="1112" w:type="dxa"/>
            <w:vAlign w:val="center"/>
          </w:tcPr>
          <w:p w14:paraId="388C77AD" w14:textId="77777777" w:rsidR="0018473E" w:rsidRPr="00F635C4" w:rsidRDefault="00015EA5">
            <w:pPr>
              <w:jc w:val="center"/>
              <w:rPr>
                <w:sz w:val="16"/>
                <w:szCs w:val="16"/>
              </w:rPr>
            </w:pPr>
            <w:r w:rsidRPr="00F635C4">
              <w:rPr>
                <w:color w:val="000000"/>
                <w:sz w:val="16"/>
                <w:szCs w:val="16"/>
              </w:rPr>
              <w:t>$ 15.179</w:t>
            </w:r>
          </w:p>
        </w:tc>
        <w:tc>
          <w:tcPr>
            <w:tcW w:w="1005" w:type="dxa"/>
            <w:vAlign w:val="center"/>
          </w:tcPr>
          <w:p w14:paraId="7FD801C2" w14:textId="77777777" w:rsidR="0018473E" w:rsidRPr="00F635C4" w:rsidRDefault="00015EA5">
            <w:pPr>
              <w:jc w:val="center"/>
              <w:rPr>
                <w:sz w:val="16"/>
                <w:szCs w:val="16"/>
              </w:rPr>
            </w:pPr>
            <w:r w:rsidRPr="00F635C4">
              <w:rPr>
                <w:color w:val="000000"/>
                <w:sz w:val="16"/>
                <w:szCs w:val="16"/>
              </w:rPr>
              <w:t>$ 36.417</w:t>
            </w:r>
          </w:p>
        </w:tc>
        <w:tc>
          <w:tcPr>
            <w:tcW w:w="1331" w:type="dxa"/>
            <w:vAlign w:val="center"/>
          </w:tcPr>
          <w:p w14:paraId="1CC86E7C" w14:textId="77777777" w:rsidR="0018473E" w:rsidRPr="00F635C4" w:rsidRDefault="00015EA5">
            <w:pPr>
              <w:jc w:val="center"/>
              <w:rPr>
                <w:sz w:val="16"/>
                <w:szCs w:val="16"/>
              </w:rPr>
            </w:pPr>
            <w:r w:rsidRPr="00F635C4">
              <w:rPr>
                <w:color w:val="000000"/>
                <w:sz w:val="16"/>
                <w:szCs w:val="16"/>
              </w:rPr>
              <w:t>$ 14.892</w:t>
            </w:r>
          </w:p>
        </w:tc>
        <w:tc>
          <w:tcPr>
            <w:tcW w:w="1225" w:type="dxa"/>
            <w:vAlign w:val="center"/>
          </w:tcPr>
          <w:p w14:paraId="50433A07" w14:textId="77777777" w:rsidR="0018473E" w:rsidRPr="00F635C4" w:rsidRDefault="00015EA5">
            <w:pPr>
              <w:jc w:val="center"/>
              <w:rPr>
                <w:sz w:val="16"/>
                <w:szCs w:val="16"/>
              </w:rPr>
            </w:pPr>
            <w:r w:rsidRPr="00F635C4">
              <w:rPr>
                <w:color w:val="000000"/>
                <w:sz w:val="16"/>
                <w:szCs w:val="16"/>
              </w:rPr>
              <w:t>$ 95.391</w:t>
            </w:r>
          </w:p>
        </w:tc>
      </w:tr>
      <w:tr w:rsidR="0018473E" w:rsidRPr="00F635C4" w14:paraId="77411FD5" w14:textId="77777777">
        <w:trPr>
          <w:trHeight w:val="308"/>
        </w:trPr>
        <w:tc>
          <w:tcPr>
            <w:tcW w:w="648" w:type="dxa"/>
            <w:vAlign w:val="center"/>
          </w:tcPr>
          <w:p w14:paraId="6B42C0A5" w14:textId="77777777" w:rsidR="0018473E" w:rsidRPr="00F635C4" w:rsidRDefault="00015EA5">
            <w:pPr>
              <w:jc w:val="center"/>
              <w:rPr>
                <w:sz w:val="16"/>
                <w:szCs w:val="16"/>
              </w:rPr>
            </w:pPr>
            <w:r w:rsidRPr="00F635C4">
              <w:rPr>
                <w:color w:val="000000"/>
                <w:sz w:val="16"/>
                <w:szCs w:val="16"/>
              </w:rPr>
              <w:t>4</w:t>
            </w:r>
          </w:p>
        </w:tc>
        <w:tc>
          <w:tcPr>
            <w:tcW w:w="1042" w:type="dxa"/>
            <w:vAlign w:val="center"/>
          </w:tcPr>
          <w:p w14:paraId="7AE5580C" w14:textId="77777777" w:rsidR="0018473E" w:rsidRPr="00F635C4" w:rsidRDefault="00015EA5">
            <w:pPr>
              <w:jc w:val="center"/>
              <w:rPr>
                <w:sz w:val="16"/>
                <w:szCs w:val="16"/>
              </w:rPr>
            </w:pPr>
            <w:r w:rsidRPr="00F635C4">
              <w:rPr>
                <w:color w:val="000000"/>
                <w:sz w:val="16"/>
                <w:szCs w:val="16"/>
              </w:rPr>
              <w:t>13.032</w:t>
            </w:r>
          </w:p>
        </w:tc>
        <w:tc>
          <w:tcPr>
            <w:tcW w:w="1204" w:type="dxa"/>
            <w:vAlign w:val="center"/>
          </w:tcPr>
          <w:p w14:paraId="4B6FC9F5" w14:textId="77777777" w:rsidR="0018473E" w:rsidRPr="00F635C4" w:rsidRDefault="00015EA5">
            <w:pPr>
              <w:jc w:val="center"/>
              <w:rPr>
                <w:sz w:val="16"/>
                <w:szCs w:val="16"/>
              </w:rPr>
            </w:pPr>
            <w:r w:rsidRPr="00F635C4">
              <w:rPr>
                <w:color w:val="000000"/>
                <w:sz w:val="16"/>
                <w:szCs w:val="16"/>
              </w:rPr>
              <w:t>8.913</w:t>
            </w:r>
          </w:p>
        </w:tc>
        <w:tc>
          <w:tcPr>
            <w:tcW w:w="1003" w:type="dxa"/>
            <w:vAlign w:val="center"/>
          </w:tcPr>
          <w:p w14:paraId="1AA390C0" w14:textId="77777777" w:rsidR="0018473E" w:rsidRPr="00F635C4" w:rsidRDefault="00015EA5">
            <w:pPr>
              <w:jc w:val="center"/>
              <w:rPr>
                <w:sz w:val="16"/>
                <w:szCs w:val="16"/>
              </w:rPr>
            </w:pPr>
            <w:r w:rsidRPr="00F635C4">
              <w:rPr>
                <w:color w:val="000000"/>
                <w:sz w:val="16"/>
                <w:szCs w:val="16"/>
              </w:rPr>
              <w:t>$ 4.389</w:t>
            </w:r>
          </w:p>
        </w:tc>
        <w:tc>
          <w:tcPr>
            <w:tcW w:w="1377" w:type="dxa"/>
            <w:vAlign w:val="center"/>
          </w:tcPr>
          <w:p w14:paraId="0FF4D9F0" w14:textId="77777777" w:rsidR="0018473E" w:rsidRPr="00F635C4" w:rsidRDefault="00015EA5">
            <w:pPr>
              <w:jc w:val="center"/>
              <w:rPr>
                <w:sz w:val="16"/>
                <w:szCs w:val="16"/>
              </w:rPr>
            </w:pPr>
            <w:r w:rsidRPr="00F635C4">
              <w:rPr>
                <w:color w:val="000000"/>
                <w:sz w:val="16"/>
                <w:szCs w:val="16"/>
              </w:rPr>
              <w:t>$ 30.995</w:t>
            </w:r>
          </w:p>
        </w:tc>
        <w:tc>
          <w:tcPr>
            <w:tcW w:w="1112" w:type="dxa"/>
            <w:vAlign w:val="center"/>
          </w:tcPr>
          <w:p w14:paraId="3F598AE7" w14:textId="77777777" w:rsidR="0018473E" w:rsidRPr="00F635C4" w:rsidRDefault="00015EA5">
            <w:pPr>
              <w:jc w:val="center"/>
              <w:rPr>
                <w:sz w:val="16"/>
                <w:szCs w:val="16"/>
              </w:rPr>
            </w:pPr>
            <w:r w:rsidRPr="00F635C4">
              <w:rPr>
                <w:color w:val="000000"/>
                <w:sz w:val="16"/>
                <w:szCs w:val="16"/>
              </w:rPr>
              <w:t>$ 16.278</w:t>
            </w:r>
          </w:p>
        </w:tc>
        <w:tc>
          <w:tcPr>
            <w:tcW w:w="1005" w:type="dxa"/>
            <w:vAlign w:val="center"/>
          </w:tcPr>
          <w:p w14:paraId="69329B07" w14:textId="77777777" w:rsidR="0018473E" w:rsidRPr="00F635C4" w:rsidRDefault="00015EA5">
            <w:pPr>
              <w:jc w:val="center"/>
              <w:rPr>
                <w:sz w:val="16"/>
                <w:szCs w:val="16"/>
              </w:rPr>
            </w:pPr>
            <w:r w:rsidRPr="00F635C4">
              <w:rPr>
                <w:color w:val="000000"/>
                <w:sz w:val="16"/>
                <w:szCs w:val="16"/>
              </w:rPr>
              <w:t>$ 39.121</w:t>
            </w:r>
          </w:p>
        </w:tc>
        <w:tc>
          <w:tcPr>
            <w:tcW w:w="1331" w:type="dxa"/>
            <w:vAlign w:val="center"/>
          </w:tcPr>
          <w:p w14:paraId="557256F3" w14:textId="77777777" w:rsidR="0018473E" w:rsidRPr="00F635C4" w:rsidRDefault="00015EA5">
            <w:pPr>
              <w:jc w:val="center"/>
              <w:rPr>
                <w:sz w:val="16"/>
                <w:szCs w:val="16"/>
              </w:rPr>
            </w:pPr>
            <w:r w:rsidRPr="00F635C4">
              <w:rPr>
                <w:color w:val="000000"/>
                <w:sz w:val="16"/>
                <w:szCs w:val="16"/>
              </w:rPr>
              <w:t>$ 31.700</w:t>
            </w:r>
          </w:p>
        </w:tc>
        <w:tc>
          <w:tcPr>
            <w:tcW w:w="1225" w:type="dxa"/>
            <w:vAlign w:val="center"/>
          </w:tcPr>
          <w:p w14:paraId="1E7E8856" w14:textId="77777777" w:rsidR="0018473E" w:rsidRPr="00F635C4" w:rsidRDefault="00015EA5">
            <w:pPr>
              <w:jc w:val="center"/>
              <w:rPr>
                <w:sz w:val="16"/>
                <w:szCs w:val="16"/>
              </w:rPr>
            </w:pPr>
            <w:r w:rsidRPr="00F635C4">
              <w:rPr>
                <w:color w:val="000000"/>
                <w:sz w:val="16"/>
                <w:szCs w:val="16"/>
              </w:rPr>
              <w:t>$ 118.094</w:t>
            </w:r>
          </w:p>
        </w:tc>
      </w:tr>
      <w:tr w:rsidR="0018473E" w:rsidRPr="00F635C4" w14:paraId="62259954" w14:textId="77777777">
        <w:trPr>
          <w:trHeight w:val="308"/>
        </w:trPr>
        <w:tc>
          <w:tcPr>
            <w:tcW w:w="648" w:type="dxa"/>
            <w:vAlign w:val="center"/>
          </w:tcPr>
          <w:p w14:paraId="186F315B" w14:textId="77777777" w:rsidR="0018473E" w:rsidRPr="00F635C4" w:rsidRDefault="00015EA5">
            <w:pPr>
              <w:jc w:val="center"/>
              <w:rPr>
                <w:sz w:val="16"/>
                <w:szCs w:val="16"/>
              </w:rPr>
            </w:pPr>
            <w:r w:rsidRPr="00F635C4">
              <w:rPr>
                <w:color w:val="000000"/>
                <w:sz w:val="16"/>
                <w:szCs w:val="16"/>
              </w:rPr>
              <w:t>5</w:t>
            </w:r>
          </w:p>
        </w:tc>
        <w:tc>
          <w:tcPr>
            <w:tcW w:w="1042" w:type="dxa"/>
            <w:vAlign w:val="center"/>
          </w:tcPr>
          <w:p w14:paraId="7CC53703" w14:textId="77777777" w:rsidR="0018473E" w:rsidRPr="00F635C4" w:rsidRDefault="00015EA5">
            <w:pPr>
              <w:jc w:val="center"/>
              <w:rPr>
                <w:sz w:val="16"/>
                <w:szCs w:val="16"/>
              </w:rPr>
            </w:pPr>
            <w:r w:rsidRPr="00F635C4">
              <w:rPr>
                <w:color w:val="000000"/>
                <w:sz w:val="16"/>
                <w:szCs w:val="16"/>
              </w:rPr>
              <w:t>13.547</w:t>
            </w:r>
          </w:p>
        </w:tc>
        <w:tc>
          <w:tcPr>
            <w:tcW w:w="1204" w:type="dxa"/>
            <w:vAlign w:val="center"/>
          </w:tcPr>
          <w:p w14:paraId="34DC6ED1" w14:textId="77777777" w:rsidR="0018473E" w:rsidRPr="00F635C4" w:rsidRDefault="00015EA5">
            <w:pPr>
              <w:jc w:val="center"/>
              <w:rPr>
                <w:sz w:val="16"/>
                <w:szCs w:val="16"/>
              </w:rPr>
            </w:pPr>
            <w:r w:rsidRPr="00F635C4">
              <w:rPr>
                <w:color w:val="000000"/>
                <w:sz w:val="16"/>
                <w:szCs w:val="16"/>
              </w:rPr>
              <w:t>9.266</w:t>
            </w:r>
          </w:p>
        </w:tc>
        <w:tc>
          <w:tcPr>
            <w:tcW w:w="1003" w:type="dxa"/>
            <w:vAlign w:val="center"/>
          </w:tcPr>
          <w:p w14:paraId="0794242B" w14:textId="77777777" w:rsidR="0018473E" w:rsidRPr="00F635C4" w:rsidRDefault="00015EA5">
            <w:pPr>
              <w:jc w:val="center"/>
              <w:rPr>
                <w:sz w:val="16"/>
                <w:szCs w:val="16"/>
              </w:rPr>
            </w:pPr>
            <w:r w:rsidRPr="00F635C4">
              <w:rPr>
                <w:color w:val="000000"/>
                <w:sz w:val="16"/>
                <w:szCs w:val="16"/>
              </w:rPr>
              <w:t>$ 7.005</w:t>
            </w:r>
          </w:p>
        </w:tc>
        <w:tc>
          <w:tcPr>
            <w:tcW w:w="1377" w:type="dxa"/>
            <w:vAlign w:val="center"/>
          </w:tcPr>
          <w:p w14:paraId="593C29BC" w14:textId="77777777" w:rsidR="0018473E" w:rsidRPr="00F635C4" w:rsidRDefault="00015EA5">
            <w:pPr>
              <w:jc w:val="center"/>
              <w:rPr>
                <w:sz w:val="16"/>
                <w:szCs w:val="16"/>
              </w:rPr>
            </w:pPr>
            <w:r w:rsidRPr="00F635C4">
              <w:rPr>
                <w:color w:val="000000"/>
                <w:sz w:val="16"/>
                <w:szCs w:val="16"/>
              </w:rPr>
              <w:t>$ 33.188</w:t>
            </w:r>
          </w:p>
        </w:tc>
        <w:tc>
          <w:tcPr>
            <w:tcW w:w="1112" w:type="dxa"/>
            <w:vAlign w:val="center"/>
          </w:tcPr>
          <w:p w14:paraId="741A0043" w14:textId="77777777" w:rsidR="0018473E" w:rsidRPr="00F635C4" w:rsidRDefault="00015EA5">
            <w:pPr>
              <w:jc w:val="center"/>
              <w:rPr>
                <w:sz w:val="16"/>
                <w:szCs w:val="16"/>
              </w:rPr>
            </w:pPr>
            <w:r w:rsidRPr="00F635C4">
              <w:rPr>
                <w:color w:val="000000"/>
                <w:sz w:val="16"/>
                <w:szCs w:val="16"/>
              </w:rPr>
              <w:t>$ 17.430</w:t>
            </w:r>
          </w:p>
        </w:tc>
        <w:tc>
          <w:tcPr>
            <w:tcW w:w="1005" w:type="dxa"/>
            <w:vAlign w:val="center"/>
          </w:tcPr>
          <w:p w14:paraId="24890AEB" w14:textId="77777777" w:rsidR="0018473E" w:rsidRPr="00F635C4" w:rsidRDefault="00015EA5">
            <w:pPr>
              <w:jc w:val="center"/>
              <w:rPr>
                <w:sz w:val="16"/>
                <w:szCs w:val="16"/>
              </w:rPr>
            </w:pPr>
            <w:r w:rsidRPr="00F635C4">
              <w:rPr>
                <w:color w:val="000000"/>
                <w:sz w:val="16"/>
                <w:szCs w:val="16"/>
              </w:rPr>
              <w:t>$ 41.954</w:t>
            </w:r>
          </w:p>
        </w:tc>
        <w:tc>
          <w:tcPr>
            <w:tcW w:w="1331" w:type="dxa"/>
            <w:vAlign w:val="center"/>
          </w:tcPr>
          <w:p w14:paraId="3874A786" w14:textId="77777777" w:rsidR="0018473E" w:rsidRPr="00F635C4" w:rsidRDefault="00015EA5">
            <w:pPr>
              <w:jc w:val="center"/>
              <w:rPr>
                <w:sz w:val="16"/>
                <w:szCs w:val="16"/>
              </w:rPr>
            </w:pPr>
            <w:r w:rsidRPr="00F635C4">
              <w:rPr>
                <w:color w:val="000000"/>
                <w:sz w:val="16"/>
                <w:szCs w:val="16"/>
              </w:rPr>
              <w:t>$ 50.592</w:t>
            </w:r>
          </w:p>
        </w:tc>
        <w:tc>
          <w:tcPr>
            <w:tcW w:w="1225" w:type="dxa"/>
            <w:vAlign w:val="center"/>
          </w:tcPr>
          <w:p w14:paraId="6E4B8476" w14:textId="77777777" w:rsidR="0018473E" w:rsidRPr="00F635C4" w:rsidRDefault="00015EA5">
            <w:pPr>
              <w:jc w:val="center"/>
              <w:rPr>
                <w:sz w:val="16"/>
                <w:szCs w:val="16"/>
              </w:rPr>
            </w:pPr>
            <w:r w:rsidRPr="00F635C4">
              <w:rPr>
                <w:color w:val="000000"/>
                <w:sz w:val="16"/>
                <w:szCs w:val="16"/>
              </w:rPr>
              <w:t>$ 143.164</w:t>
            </w:r>
          </w:p>
        </w:tc>
      </w:tr>
      <w:tr w:rsidR="0018473E" w:rsidRPr="00F635C4" w14:paraId="4455DCE5" w14:textId="77777777">
        <w:trPr>
          <w:trHeight w:val="308"/>
        </w:trPr>
        <w:tc>
          <w:tcPr>
            <w:tcW w:w="648" w:type="dxa"/>
            <w:vAlign w:val="center"/>
          </w:tcPr>
          <w:p w14:paraId="57780C19" w14:textId="77777777" w:rsidR="0018473E" w:rsidRPr="00F635C4" w:rsidRDefault="00015EA5">
            <w:pPr>
              <w:jc w:val="center"/>
              <w:rPr>
                <w:sz w:val="16"/>
                <w:szCs w:val="16"/>
              </w:rPr>
            </w:pPr>
            <w:r w:rsidRPr="00F635C4">
              <w:rPr>
                <w:color w:val="000000"/>
                <w:sz w:val="16"/>
                <w:szCs w:val="16"/>
              </w:rPr>
              <w:t>6</w:t>
            </w:r>
          </w:p>
        </w:tc>
        <w:tc>
          <w:tcPr>
            <w:tcW w:w="1042" w:type="dxa"/>
            <w:vAlign w:val="center"/>
          </w:tcPr>
          <w:p w14:paraId="3374FA18" w14:textId="77777777" w:rsidR="0018473E" w:rsidRPr="00F635C4" w:rsidRDefault="00015EA5">
            <w:pPr>
              <w:jc w:val="center"/>
              <w:rPr>
                <w:sz w:val="16"/>
                <w:szCs w:val="16"/>
              </w:rPr>
            </w:pPr>
            <w:r w:rsidRPr="00F635C4">
              <w:rPr>
                <w:color w:val="000000"/>
                <w:sz w:val="16"/>
                <w:szCs w:val="16"/>
              </w:rPr>
              <w:t>14.063</w:t>
            </w:r>
          </w:p>
        </w:tc>
        <w:tc>
          <w:tcPr>
            <w:tcW w:w="1204" w:type="dxa"/>
            <w:vAlign w:val="center"/>
          </w:tcPr>
          <w:p w14:paraId="29AB2A7C" w14:textId="77777777" w:rsidR="0018473E" w:rsidRPr="00F635C4" w:rsidRDefault="00015EA5">
            <w:pPr>
              <w:jc w:val="center"/>
              <w:rPr>
                <w:sz w:val="16"/>
                <w:szCs w:val="16"/>
              </w:rPr>
            </w:pPr>
            <w:r w:rsidRPr="00F635C4">
              <w:rPr>
                <w:color w:val="000000"/>
                <w:sz w:val="16"/>
                <w:szCs w:val="16"/>
              </w:rPr>
              <w:t>9.618</w:t>
            </w:r>
          </w:p>
        </w:tc>
        <w:tc>
          <w:tcPr>
            <w:tcW w:w="1003" w:type="dxa"/>
            <w:vAlign w:val="center"/>
          </w:tcPr>
          <w:p w14:paraId="2689A0A1" w14:textId="77777777" w:rsidR="0018473E" w:rsidRPr="00F635C4" w:rsidRDefault="00015EA5">
            <w:pPr>
              <w:jc w:val="center"/>
              <w:rPr>
                <w:sz w:val="16"/>
                <w:szCs w:val="16"/>
              </w:rPr>
            </w:pPr>
            <w:r w:rsidRPr="00F635C4">
              <w:rPr>
                <w:color w:val="000000"/>
                <w:sz w:val="16"/>
                <w:szCs w:val="16"/>
              </w:rPr>
              <w:t>$ 9.916</w:t>
            </w:r>
          </w:p>
        </w:tc>
        <w:tc>
          <w:tcPr>
            <w:tcW w:w="1377" w:type="dxa"/>
            <w:vAlign w:val="center"/>
          </w:tcPr>
          <w:p w14:paraId="08E40234" w14:textId="77777777" w:rsidR="0018473E" w:rsidRPr="00F635C4" w:rsidRDefault="00015EA5">
            <w:pPr>
              <w:jc w:val="center"/>
              <w:rPr>
                <w:sz w:val="16"/>
                <w:szCs w:val="16"/>
              </w:rPr>
            </w:pPr>
            <w:r w:rsidRPr="00F635C4">
              <w:rPr>
                <w:color w:val="000000"/>
                <w:sz w:val="16"/>
                <w:szCs w:val="16"/>
              </w:rPr>
              <w:t>$ 35.484</w:t>
            </w:r>
          </w:p>
        </w:tc>
        <w:tc>
          <w:tcPr>
            <w:tcW w:w="1112" w:type="dxa"/>
            <w:vAlign w:val="center"/>
          </w:tcPr>
          <w:p w14:paraId="2E3543D5" w14:textId="77777777" w:rsidR="0018473E" w:rsidRPr="00F635C4" w:rsidRDefault="00015EA5">
            <w:pPr>
              <w:jc w:val="center"/>
              <w:rPr>
                <w:sz w:val="16"/>
                <w:szCs w:val="16"/>
              </w:rPr>
            </w:pPr>
            <w:r w:rsidRPr="00F635C4">
              <w:rPr>
                <w:color w:val="000000"/>
                <w:sz w:val="16"/>
                <w:szCs w:val="16"/>
              </w:rPr>
              <w:t>$ 18.636</w:t>
            </w:r>
          </w:p>
        </w:tc>
        <w:tc>
          <w:tcPr>
            <w:tcW w:w="1005" w:type="dxa"/>
            <w:vAlign w:val="center"/>
          </w:tcPr>
          <w:p w14:paraId="4C780C08" w14:textId="77777777" w:rsidR="0018473E" w:rsidRPr="00F635C4" w:rsidRDefault="00015EA5">
            <w:pPr>
              <w:jc w:val="center"/>
              <w:rPr>
                <w:sz w:val="16"/>
                <w:szCs w:val="16"/>
              </w:rPr>
            </w:pPr>
            <w:r w:rsidRPr="00F635C4">
              <w:rPr>
                <w:color w:val="000000"/>
                <w:sz w:val="16"/>
                <w:szCs w:val="16"/>
              </w:rPr>
              <w:t>$ 44.922</w:t>
            </w:r>
          </w:p>
        </w:tc>
        <w:tc>
          <w:tcPr>
            <w:tcW w:w="1331" w:type="dxa"/>
            <w:vAlign w:val="center"/>
          </w:tcPr>
          <w:p w14:paraId="34727DF3" w14:textId="77777777" w:rsidR="0018473E" w:rsidRPr="00F635C4" w:rsidRDefault="00015EA5">
            <w:pPr>
              <w:jc w:val="center"/>
              <w:rPr>
                <w:sz w:val="16"/>
                <w:szCs w:val="16"/>
              </w:rPr>
            </w:pPr>
            <w:r w:rsidRPr="00F635C4">
              <w:rPr>
                <w:color w:val="000000"/>
                <w:sz w:val="16"/>
                <w:szCs w:val="16"/>
              </w:rPr>
              <w:t>$ 71.616</w:t>
            </w:r>
          </w:p>
        </w:tc>
        <w:tc>
          <w:tcPr>
            <w:tcW w:w="1225" w:type="dxa"/>
            <w:vAlign w:val="center"/>
          </w:tcPr>
          <w:p w14:paraId="2756B476" w14:textId="77777777" w:rsidR="0018473E" w:rsidRPr="00F635C4" w:rsidRDefault="00015EA5">
            <w:pPr>
              <w:jc w:val="center"/>
              <w:rPr>
                <w:sz w:val="16"/>
                <w:szCs w:val="16"/>
              </w:rPr>
            </w:pPr>
            <w:r w:rsidRPr="00F635C4">
              <w:rPr>
                <w:color w:val="000000"/>
                <w:sz w:val="16"/>
                <w:szCs w:val="16"/>
              </w:rPr>
              <w:t>$ 170.659</w:t>
            </w:r>
          </w:p>
        </w:tc>
      </w:tr>
      <w:tr w:rsidR="0018473E" w:rsidRPr="00F635C4" w14:paraId="75E75EDF" w14:textId="77777777">
        <w:trPr>
          <w:trHeight w:val="355"/>
        </w:trPr>
        <w:tc>
          <w:tcPr>
            <w:tcW w:w="648" w:type="dxa"/>
            <w:vAlign w:val="center"/>
          </w:tcPr>
          <w:p w14:paraId="2D0828B7" w14:textId="77777777" w:rsidR="0018473E" w:rsidRPr="00F635C4" w:rsidRDefault="00015EA5">
            <w:pPr>
              <w:jc w:val="center"/>
              <w:rPr>
                <w:sz w:val="16"/>
                <w:szCs w:val="16"/>
              </w:rPr>
            </w:pPr>
            <w:r w:rsidRPr="00F635C4">
              <w:rPr>
                <w:color w:val="000000"/>
                <w:sz w:val="16"/>
                <w:szCs w:val="16"/>
              </w:rPr>
              <w:t>7</w:t>
            </w:r>
          </w:p>
        </w:tc>
        <w:tc>
          <w:tcPr>
            <w:tcW w:w="1042" w:type="dxa"/>
            <w:vAlign w:val="center"/>
          </w:tcPr>
          <w:p w14:paraId="2D0EC10F" w14:textId="77777777" w:rsidR="0018473E" w:rsidRPr="00F635C4" w:rsidRDefault="00015EA5">
            <w:pPr>
              <w:jc w:val="center"/>
              <w:rPr>
                <w:sz w:val="16"/>
                <w:szCs w:val="16"/>
              </w:rPr>
            </w:pPr>
            <w:r w:rsidRPr="00F635C4">
              <w:rPr>
                <w:color w:val="000000"/>
                <w:sz w:val="16"/>
                <w:szCs w:val="16"/>
              </w:rPr>
              <w:t>14.578</w:t>
            </w:r>
          </w:p>
        </w:tc>
        <w:tc>
          <w:tcPr>
            <w:tcW w:w="1204" w:type="dxa"/>
            <w:vAlign w:val="center"/>
          </w:tcPr>
          <w:p w14:paraId="2A11285A" w14:textId="77777777" w:rsidR="0018473E" w:rsidRPr="00F635C4" w:rsidRDefault="00015EA5">
            <w:pPr>
              <w:jc w:val="center"/>
              <w:rPr>
                <w:sz w:val="16"/>
                <w:szCs w:val="16"/>
              </w:rPr>
            </w:pPr>
            <w:r w:rsidRPr="00F635C4">
              <w:rPr>
                <w:color w:val="000000"/>
                <w:sz w:val="16"/>
                <w:szCs w:val="16"/>
              </w:rPr>
              <w:t>9.971</w:t>
            </w:r>
          </w:p>
        </w:tc>
        <w:tc>
          <w:tcPr>
            <w:tcW w:w="1003" w:type="dxa"/>
            <w:vAlign w:val="center"/>
          </w:tcPr>
          <w:p w14:paraId="6F45DE9B" w14:textId="77777777" w:rsidR="0018473E" w:rsidRPr="00F635C4" w:rsidRDefault="00015EA5">
            <w:pPr>
              <w:jc w:val="center"/>
              <w:rPr>
                <w:sz w:val="16"/>
                <w:szCs w:val="16"/>
              </w:rPr>
            </w:pPr>
            <w:r w:rsidRPr="00F635C4">
              <w:rPr>
                <w:color w:val="000000"/>
                <w:sz w:val="16"/>
                <w:szCs w:val="16"/>
              </w:rPr>
              <w:t>$ 13.247</w:t>
            </w:r>
          </w:p>
        </w:tc>
        <w:tc>
          <w:tcPr>
            <w:tcW w:w="1377" w:type="dxa"/>
            <w:vAlign w:val="center"/>
          </w:tcPr>
          <w:p w14:paraId="6679DF4F" w14:textId="77777777" w:rsidR="0018473E" w:rsidRPr="00F635C4" w:rsidRDefault="00015EA5">
            <w:pPr>
              <w:jc w:val="center"/>
              <w:rPr>
                <w:sz w:val="16"/>
                <w:szCs w:val="16"/>
              </w:rPr>
            </w:pPr>
            <w:r w:rsidRPr="00F635C4">
              <w:rPr>
                <w:color w:val="000000"/>
                <w:sz w:val="16"/>
                <w:szCs w:val="16"/>
              </w:rPr>
              <w:t>$ 37.888</w:t>
            </w:r>
          </w:p>
        </w:tc>
        <w:tc>
          <w:tcPr>
            <w:tcW w:w="1112" w:type="dxa"/>
            <w:vAlign w:val="center"/>
          </w:tcPr>
          <w:p w14:paraId="6C78D567" w14:textId="77777777" w:rsidR="0018473E" w:rsidRPr="00F635C4" w:rsidRDefault="00015EA5">
            <w:pPr>
              <w:jc w:val="center"/>
              <w:rPr>
                <w:sz w:val="16"/>
                <w:szCs w:val="16"/>
              </w:rPr>
            </w:pPr>
            <w:r w:rsidRPr="00F635C4">
              <w:rPr>
                <w:color w:val="000000"/>
                <w:sz w:val="16"/>
                <w:szCs w:val="16"/>
              </w:rPr>
              <w:t>$ 19.899</w:t>
            </w:r>
          </w:p>
        </w:tc>
        <w:tc>
          <w:tcPr>
            <w:tcW w:w="1005" w:type="dxa"/>
            <w:vAlign w:val="center"/>
          </w:tcPr>
          <w:p w14:paraId="729FCC59" w14:textId="77777777" w:rsidR="0018473E" w:rsidRPr="00F635C4" w:rsidRDefault="00015EA5">
            <w:pPr>
              <w:jc w:val="center"/>
              <w:rPr>
                <w:sz w:val="16"/>
                <w:szCs w:val="16"/>
              </w:rPr>
            </w:pPr>
            <w:r w:rsidRPr="00F635C4">
              <w:rPr>
                <w:color w:val="000000"/>
                <w:sz w:val="16"/>
                <w:szCs w:val="16"/>
              </w:rPr>
              <w:t>$ 48.031</w:t>
            </w:r>
          </w:p>
        </w:tc>
        <w:tc>
          <w:tcPr>
            <w:tcW w:w="1331" w:type="dxa"/>
            <w:vAlign w:val="center"/>
          </w:tcPr>
          <w:p w14:paraId="776F5CF4" w14:textId="77777777" w:rsidR="0018473E" w:rsidRPr="00F635C4" w:rsidRDefault="00015EA5">
            <w:pPr>
              <w:jc w:val="center"/>
              <w:rPr>
                <w:sz w:val="16"/>
                <w:szCs w:val="16"/>
              </w:rPr>
            </w:pPr>
            <w:r w:rsidRPr="00F635C4">
              <w:rPr>
                <w:color w:val="000000"/>
                <w:sz w:val="16"/>
                <w:szCs w:val="16"/>
              </w:rPr>
              <w:t>$ 95.670</w:t>
            </w:r>
          </w:p>
        </w:tc>
        <w:tc>
          <w:tcPr>
            <w:tcW w:w="1225" w:type="dxa"/>
            <w:vAlign w:val="center"/>
          </w:tcPr>
          <w:p w14:paraId="064DE8C4" w14:textId="77777777" w:rsidR="0018473E" w:rsidRPr="00F635C4" w:rsidRDefault="00015EA5">
            <w:pPr>
              <w:jc w:val="center"/>
              <w:rPr>
                <w:sz w:val="16"/>
                <w:szCs w:val="16"/>
              </w:rPr>
            </w:pPr>
            <w:r w:rsidRPr="00F635C4">
              <w:rPr>
                <w:color w:val="000000"/>
                <w:sz w:val="16"/>
                <w:szCs w:val="16"/>
              </w:rPr>
              <w:t>$ 201.488</w:t>
            </w:r>
          </w:p>
        </w:tc>
      </w:tr>
      <w:tr w:rsidR="0018473E" w:rsidRPr="00F635C4" w14:paraId="4700A199" w14:textId="77777777">
        <w:trPr>
          <w:trHeight w:val="308"/>
        </w:trPr>
        <w:tc>
          <w:tcPr>
            <w:tcW w:w="648" w:type="dxa"/>
            <w:vAlign w:val="center"/>
          </w:tcPr>
          <w:p w14:paraId="482F8FA4" w14:textId="77777777" w:rsidR="0018473E" w:rsidRPr="00F635C4" w:rsidRDefault="00015EA5">
            <w:pPr>
              <w:jc w:val="center"/>
              <w:rPr>
                <w:sz w:val="16"/>
                <w:szCs w:val="16"/>
              </w:rPr>
            </w:pPr>
            <w:r w:rsidRPr="00F635C4">
              <w:rPr>
                <w:color w:val="000000"/>
                <w:sz w:val="16"/>
                <w:szCs w:val="16"/>
              </w:rPr>
              <w:t>8</w:t>
            </w:r>
          </w:p>
        </w:tc>
        <w:tc>
          <w:tcPr>
            <w:tcW w:w="1042" w:type="dxa"/>
            <w:vAlign w:val="center"/>
          </w:tcPr>
          <w:p w14:paraId="63A65F84" w14:textId="77777777" w:rsidR="0018473E" w:rsidRPr="00F635C4" w:rsidRDefault="00015EA5">
            <w:pPr>
              <w:jc w:val="center"/>
              <w:rPr>
                <w:sz w:val="16"/>
                <w:szCs w:val="16"/>
              </w:rPr>
            </w:pPr>
            <w:r w:rsidRPr="00F635C4">
              <w:rPr>
                <w:color w:val="000000"/>
                <w:sz w:val="16"/>
                <w:szCs w:val="16"/>
              </w:rPr>
              <w:t>15.094</w:t>
            </w:r>
          </w:p>
        </w:tc>
        <w:tc>
          <w:tcPr>
            <w:tcW w:w="1204" w:type="dxa"/>
            <w:vAlign w:val="center"/>
          </w:tcPr>
          <w:p w14:paraId="00AB3C19" w14:textId="77777777" w:rsidR="0018473E" w:rsidRPr="00F635C4" w:rsidRDefault="00015EA5">
            <w:pPr>
              <w:jc w:val="center"/>
              <w:rPr>
                <w:sz w:val="16"/>
                <w:szCs w:val="16"/>
              </w:rPr>
            </w:pPr>
            <w:r w:rsidRPr="00F635C4">
              <w:rPr>
                <w:color w:val="000000"/>
                <w:sz w:val="16"/>
                <w:szCs w:val="16"/>
              </w:rPr>
              <w:t>10.324</w:t>
            </w:r>
          </w:p>
        </w:tc>
        <w:tc>
          <w:tcPr>
            <w:tcW w:w="1003" w:type="dxa"/>
            <w:vAlign w:val="center"/>
          </w:tcPr>
          <w:p w14:paraId="442D4933" w14:textId="77777777" w:rsidR="0018473E" w:rsidRPr="00F635C4" w:rsidRDefault="00015EA5">
            <w:pPr>
              <w:jc w:val="center"/>
              <w:rPr>
                <w:sz w:val="16"/>
                <w:szCs w:val="16"/>
              </w:rPr>
            </w:pPr>
            <w:r w:rsidRPr="00F635C4">
              <w:rPr>
                <w:color w:val="000000"/>
                <w:sz w:val="16"/>
                <w:szCs w:val="16"/>
              </w:rPr>
              <w:t>$ 16.929</w:t>
            </w:r>
          </w:p>
        </w:tc>
        <w:tc>
          <w:tcPr>
            <w:tcW w:w="1377" w:type="dxa"/>
            <w:vAlign w:val="center"/>
          </w:tcPr>
          <w:p w14:paraId="185DF343" w14:textId="77777777" w:rsidR="0018473E" w:rsidRPr="00F635C4" w:rsidRDefault="00015EA5">
            <w:pPr>
              <w:jc w:val="center"/>
              <w:rPr>
                <w:sz w:val="16"/>
                <w:szCs w:val="16"/>
              </w:rPr>
            </w:pPr>
            <w:r w:rsidRPr="00F635C4">
              <w:rPr>
                <w:color w:val="000000"/>
                <w:sz w:val="16"/>
                <w:szCs w:val="16"/>
              </w:rPr>
              <w:t>$ 40.405</w:t>
            </w:r>
          </w:p>
        </w:tc>
        <w:tc>
          <w:tcPr>
            <w:tcW w:w="1112" w:type="dxa"/>
            <w:vAlign w:val="center"/>
          </w:tcPr>
          <w:p w14:paraId="674A0616" w14:textId="77777777" w:rsidR="0018473E" w:rsidRPr="00F635C4" w:rsidRDefault="00015EA5">
            <w:pPr>
              <w:jc w:val="center"/>
              <w:rPr>
                <w:sz w:val="16"/>
                <w:szCs w:val="16"/>
              </w:rPr>
            </w:pPr>
            <w:r w:rsidRPr="00F635C4">
              <w:rPr>
                <w:color w:val="000000"/>
                <w:sz w:val="16"/>
                <w:szCs w:val="16"/>
              </w:rPr>
              <w:t>$ 21.220</w:t>
            </w:r>
          </w:p>
        </w:tc>
        <w:tc>
          <w:tcPr>
            <w:tcW w:w="1005" w:type="dxa"/>
            <w:vAlign w:val="center"/>
          </w:tcPr>
          <w:p w14:paraId="1DD87567" w14:textId="77777777" w:rsidR="0018473E" w:rsidRPr="00F635C4" w:rsidRDefault="00015EA5">
            <w:pPr>
              <w:jc w:val="center"/>
              <w:rPr>
                <w:sz w:val="16"/>
                <w:szCs w:val="16"/>
              </w:rPr>
            </w:pPr>
            <w:r w:rsidRPr="00F635C4">
              <w:rPr>
                <w:color w:val="000000"/>
                <w:sz w:val="16"/>
                <w:szCs w:val="16"/>
              </w:rPr>
              <w:t>$ 51.285</w:t>
            </w:r>
          </w:p>
        </w:tc>
        <w:tc>
          <w:tcPr>
            <w:tcW w:w="1331" w:type="dxa"/>
            <w:vAlign w:val="center"/>
          </w:tcPr>
          <w:p w14:paraId="141CAA1E" w14:textId="77777777" w:rsidR="0018473E" w:rsidRPr="00F635C4" w:rsidRDefault="00015EA5">
            <w:pPr>
              <w:jc w:val="center"/>
              <w:rPr>
                <w:sz w:val="16"/>
                <w:szCs w:val="16"/>
              </w:rPr>
            </w:pPr>
            <w:r w:rsidRPr="00F635C4">
              <w:rPr>
                <w:color w:val="000000"/>
                <w:sz w:val="16"/>
                <w:szCs w:val="16"/>
              </w:rPr>
              <w:t>$ 122.267</w:t>
            </w:r>
          </w:p>
        </w:tc>
        <w:tc>
          <w:tcPr>
            <w:tcW w:w="1225" w:type="dxa"/>
            <w:vAlign w:val="center"/>
          </w:tcPr>
          <w:p w14:paraId="2AB6EF21" w14:textId="77777777" w:rsidR="0018473E" w:rsidRPr="00F635C4" w:rsidRDefault="00015EA5">
            <w:pPr>
              <w:jc w:val="center"/>
              <w:rPr>
                <w:sz w:val="16"/>
                <w:szCs w:val="16"/>
              </w:rPr>
            </w:pPr>
            <w:r w:rsidRPr="00F635C4">
              <w:rPr>
                <w:color w:val="000000"/>
                <w:sz w:val="16"/>
                <w:szCs w:val="16"/>
              </w:rPr>
              <w:t>$ 235.178</w:t>
            </w:r>
          </w:p>
        </w:tc>
      </w:tr>
      <w:tr w:rsidR="0018473E" w:rsidRPr="00F635C4" w14:paraId="33B3BA3C" w14:textId="77777777">
        <w:trPr>
          <w:trHeight w:val="308"/>
        </w:trPr>
        <w:tc>
          <w:tcPr>
            <w:tcW w:w="648" w:type="dxa"/>
            <w:vAlign w:val="center"/>
          </w:tcPr>
          <w:p w14:paraId="7E4457E6" w14:textId="77777777" w:rsidR="0018473E" w:rsidRPr="00F635C4" w:rsidRDefault="00015EA5">
            <w:pPr>
              <w:jc w:val="center"/>
              <w:rPr>
                <w:sz w:val="16"/>
                <w:szCs w:val="16"/>
              </w:rPr>
            </w:pPr>
            <w:r w:rsidRPr="00F635C4">
              <w:rPr>
                <w:color w:val="000000"/>
                <w:sz w:val="16"/>
                <w:szCs w:val="16"/>
              </w:rPr>
              <w:t>9</w:t>
            </w:r>
          </w:p>
        </w:tc>
        <w:tc>
          <w:tcPr>
            <w:tcW w:w="1042" w:type="dxa"/>
            <w:vAlign w:val="center"/>
          </w:tcPr>
          <w:p w14:paraId="1EED1349" w14:textId="77777777" w:rsidR="0018473E" w:rsidRPr="00F635C4" w:rsidRDefault="00015EA5">
            <w:pPr>
              <w:jc w:val="center"/>
              <w:rPr>
                <w:sz w:val="16"/>
                <w:szCs w:val="16"/>
              </w:rPr>
            </w:pPr>
            <w:r w:rsidRPr="00F635C4">
              <w:rPr>
                <w:color w:val="000000"/>
                <w:sz w:val="16"/>
                <w:szCs w:val="16"/>
              </w:rPr>
              <w:t>15.609</w:t>
            </w:r>
          </w:p>
        </w:tc>
        <w:tc>
          <w:tcPr>
            <w:tcW w:w="1204" w:type="dxa"/>
            <w:vAlign w:val="center"/>
          </w:tcPr>
          <w:p w14:paraId="08098D66" w14:textId="77777777" w:rsidR="0018473E" w:rsidRPr="00F635C4" w:rsidRDefault="00015EA5">
            <w:pPr>
              <w:jc w:val="center"/>
              <w:rPr>
                <w:sz w:val="16"/>
                <w:szCs w:val="16"/>
              </w:rPr>
            </w:pPr>
            <w:r w:rsidRPr="00F635C4">
              <w:rPr>
                <w:color w:val="000000"/>
                <w:sz w:val="16"/>
                <w:szCs w:val="16"/>
              </w:rPr>
              <w:t>10.676</w:t>
            </w:r>
          </w:p>
        </w:tc>
        <w:tc>
          <w:tcPr>
            <w:tcW w:w="1003" w:type="dxa"/>
            <w:vAlign w:val="center"/>
          </w:tcPr>
          <w:p w14:paraId="7182262B" w14:textId="77777777" w:rsidR="0018473E" w:rsidRPr="00F635C4" w:rsidRDefault="00015EA5">
            <w:pPr>
              <w:jc w:val="center"/>
              <w:rPr>
                <w:sz w:val="16"/>
                <w:szCs w:val="16"/>
              </w:rPr>
            </w:pPr>
            <w:r w:rsidRPr="00F635C4">
              <w:rPr>
                <w:color w:val="000000"/>
                <w:sz w:val="16"/>
                <w:szCs w:val="16"/>
              </w:rPr>
              <w:t>$ 20.990</w:t>
            </w:r>
          </w:p>
        </w:tc>
        <w:tc>
          <w:tcPr>
            <w:tcW w:w="1377" w:type="dxa"/>
            <w:vAlign w:val="center"/>
          </w:tcPr>
          <w:p w14:paraId="28FF2E97" w14:textId="77777777" w:rsidR="0018473E" w:rsidRPr="00F635C4" w:rsidRDefault="00015EA5">
            <w:pPr>
              <w:jc w:val="center"/>
              <w:rPr>
                <w:sz w:val="16"/>
                <w:szCs w:val="16"/>
              </w:rPr>
            </w:pPr>
            <w:r w:rsidRPr="00F635C4">
              <w:rPr>
                <w:color w:val="000000"/>
                <w:sz w:val="16"/>
                <w:szCs w:val="16"/>
              </w:rPr>
              <w:t>$ 43.038</w:t>
            </w:r>
          </w:p>
        </w:tc>
        <w:tc>
          <w:tcPr>
            <w:tcW w:w="1112" w:type="dxa"/>
            <w:vAlign w:val="center"/>
          </w:tcPr>
          <w:p w14:paraId="60AB3124" w14:textId="77777777" w:rsidR="0018473E" w:rsidRPr="00F635C4" w:rsidRDefault="00015EA5">
            <w:pPr>
              <w:jc w:val="center"/>
              <w:rPr>
                <w:sz w:val="16"/>
                <w:szCs w:val="16"/>
              </w:rPr>
            </w:pPr>
            <w:r w:rsidRPr="00F635C4">
              <w:rPr>
                <w:color w:val="000000"/>
                <w:sz w:val="16"/>
                <w:szCs w:val="16"/>
              </w:rPr>
              <w:t>$ 22.603</w:t>
            </w:r>
          </w:p>
        </w:tc>
        <w:tc>
          <w:tcPr>
            <w:tcW w:w="1005" w:type="dxa"/>
            <w:vAlign w:val="center"/>
          </w:tcPr>
          <w:p w14:paraId="22892D90" w14:textId="77777777" w:rsidR="0018473E" w:rsidRPr="00F635C4" w:rsidRDefault="00015EA5">
            <w:pPr>
              <w:jc w:val="center"/>
              <w:rPr>
                <w:sz w:val="16"/>
                <w:szCs w:val="16"/>
              </w:rPr>
            </w:pPr>
            <w:r w:rsidRPr="00F635C4">
              <w:rPr>
                <w:color w:val="000000"/>
                <w:sz w:val="16"/>
                <w:szCs w:val="16"/>
              </w:rPr>
              <w:t>$ 54.692</w:t>
            </w:r>
          </w:p>
        </w:tc>
        <w:tc>
          <w:tcPr>
            <w:tcW w:w="1331" w:type="dxa"/>
            <w:vAlign w:val="center"/>
          </w:tcPr>
          <w:p w14:paraId="03A5ADFB" w14:textId="77777777" w:rsidR="0018473E" w:rsidRPr="00F635C4" w:rsidRDefault="00015EA5">
            <w:pPr>
              <w:jc w:val="center"/>
              <w:rPr>
                <w:sz w:val="16"/>
                <w:szCs w:val="16"/>
              </w:rPr>
            </w:pPr>
            <w:r w:rsidRPr="00F635C4">
              <w:rPr>
                <w:color w:val="000000"/>
                <w:sz w:val="16"/>
                <w:szCs w:val="16"/>
              </w:rPr>
              <w:t>$ 151.592</w:t>
            </w:r>
          </w:p>
        </w:tc>
        <w:tc>
          <w:tcPr>
            <w:tcW w:w="1225" w:type="dxa"/>
            <w:vAlign w:val="center"/>
          </w:tcPr>
          <w:p w14:paraId="0610204C" w14:textId="77777777" w:rsidR="0018473E" w:rsidRPr="00F635C4" w:rsidRDefault="00015EA5">
            <w:pPr>
              <w:jc w:val="center"/>
              <w:rPr>
                <w:sz w:val="16"/>
                <w:szCs w:val="16"/>
              </w:rPr>
            </w:pPr>
            <w:r w:rsidRPr="00F635C4">
              <w:rPr>
                <w:color w:val="000000"/>
                <w:sz w:val="16"/>
                <w:szCs w:val="16"/>
              </w:rPr>
              <w:t>$ 271.925</w:t>
            </w:r>
          </w:p>
        </w:tc>
      </w:tr>
      <w:tr w:rsidR="0018473E" w:rsidRPr="00F635C4" w14:paraId="05A2BEFE" w14:textId="77777777">
        <w:trPr>
          <w:trHeight w:val="326"/>
        </w:trPr>
        <w:tc>
          <w:tcPr>
            <w:tcW w:w="648" w:type="dxa"/>
            <w:vAlign w:val="center"/>
          </w:tcPr>
          <w:p w14:paraId="10FC533C" w14:textId="77777777" w:rsidR="0018473E" w:rsidRPr="00F635C4" w:rsidRDefault="00015EA5">
            <w:pPr>
              <w:jc w:val="center"/>
              <w:rPr>
                <w:sz w:val="16"/>
                <w:szCs w:val="16"/>
              </w:rPr>
            </w:pPr>
            <w:r w:rsidRPr="00F635C4">
              <w:rPr>
                <w:color w:val="000000"/>
                <w:sz w:val="16"/>
                <w:szCs w:val="16"/>
              </w:rPr>
              <w:t>10</w:t>
            </w:r>
          </w:p>
        </w:tc>
        <w:tc>
          <w:tcPr>
            <w:tcW w:w="1042" w:type="dxa"/>
            <w:vAlign w:val="center"/>
          </w:tcPr>
          <w:p w14:paraId="3B11EA8E" w14:textId="77777777" w:rsidR="0018473E" w:rsidRPr="00F635C4" w:rsidRDefault="00015EA5">
            <w:pPr>
              <w:jc w:val="center"/>
              <w:rPr>
                <w:sz w:val="16"/>
                <w:szCs w:val="16"/>
              </w:rPr>
            </w:pPr>
            <w:r w:rsidRPr="00F635C4">
              <w:rPr>
                <w:color w:val="000000"/>
                <w:sz w:val="16"/>
                <w:szCs w:val="16"/>
              </w:rPr>
              <w:t>16.125</w:t>
            </w:r>
          </w:p>
        </w:tc>
        <w:tc>
          <w:tcPr>
            <w:tcW w:w="1204" w:type="dxa"/>
            <w:vAlign w:val="center"/>
          </w:tcPr>
          <w:p w14:paraId="3960278C" w14:textId="77777777" w:rsidR="0018473E" w:rsidRPr="00F635C4" w:rsidRDefault="00015EA5">
            <w:pPr>
              <w:jc w:val="center"/>
              <w:rPr>
                <w:sz w:val="16"/>
                <w:szCs w:val="16"/>
              </w:rPr>
            </w:pPr>
            <w:r w:rsidRPr="00F635C4">
              <w:rPr>
                <w:color w:val="000000"/>
                <w:sz w:val="16"/>
                <w:szCs w:val="16"/>
              </w:rPr>
              <w:t>11.029</w:t>
            </w:r>
          </w:p>
        </w:tc>
        <w:tc>
          <w:tcPr>
            <w:tcW w:w="1003" w:type="dxa"/>
            <w:vAlign w:val="center"/>
          </w:tcPr>
          <w:p w14:paraId="38D9F728" w14:textId="77777777" w:rsidR="0018473E" w:rsidRPr="00F635C4" w:rsidRDefault="00015EA5">
            <w:pPr>
              <w:jc w:val="center"/>
              <w:rPr>
                <w:sz w:val="16"/>
                <w:szCs w:val="16"/>
              </w:rPr>
            </w:pPr>
            <w:r w:rsidRPr="00F635C4">
              <w:rPr>
                <w:color w:val="000000"/>
                <w:sz w:val="16"/>
                <w:szCs w:val="16"/>
              </w:rPr>
              <w:t>$ 25.499</w:t>
            </w:r>
          </w:p>
        </w:tc>
        <w:tc>
          <w:tcPr>
            <w:tcW w:w="1377" w:type="dxa"/>
            <w:vAlign w:val="center"/>
          </w:tcPr>
          <w:p w14:paraId="1CEB9672" w14:textId="77777777" w:rsidR="0018473E" w:rsidRPr="00F635C4" w:rsidRDefault="00015EA5">
            <w:pPr>
              <w:jc w:val="center"/>
              <w:rPr>
                <w:sz w:val="16"/>
                <w:szCs w:val="16"/>
              </w:rPr>
            </w:pPr>
            <w:r w:rsidRPr="00F635C4">
              <w:rPr>
                <w:color w:val="000000"/>
                <w:sz w:val="16"/>
                <w:szCs w:val="16"/>
              </w:rPr>
              <w:t>$ 45.794</w:t>
            </w:r>
          </w:p>
        </w:tc>
        <w:tc>
          <w:tcPr>
            <w:tcW w:w="1112" w:type="dxa"/>
            <w:vAlign w:val="center"/>
          </w:tcPr>
          <w:p w14:paraId="14F74FE2" w14:textId="77777777" w:rsidR="0018473E" w:rsidRPr="00F635C4" w:rsidRDefault="00015EA5">
            <w:pPr>
              <w:jc w:val="center"/>
              <w:rPr>
                <w:sz w:val="16"/>
                <w:szCs w:val="16"/>
              </w:rPr>
            </w:pPr>
            <w:r w:rsidRPr="00F635C4">
              <w:rPr>
                <w:color w:val="000000"/>
                <w:sz w:val="16"/>
                <w:szCs w:val="16"/>
              </w:rPr>
              <w:t>$ 24.050</w:t>
            </w:r>
          </w:p>
        </w:tc>
        <w:tc>
          <w:tcPr>
            <w:tcW w:w="1005" w:type="dxa"/>
            <w:vAlign w:val="center"/>
          </w:tcPr>
          <w:p w14:paraId="6EC05AFA" w14:textId="77777777" w:rsidR="0018473E" w:rsidRPr="00F635C4" w:rsidRDefault="00015EA5">
            <w:pPr>
              <w:jc w:val="center"/>
              <w:rPr>
                <w:sz w:val="16"/>
                <w:szCs w:val="16"/>
              </w:rPr>
            </w:pPr>
            <w:r w:rsidRPr="00F635C4">
              <w:rPr>
                <w:color w:val="000000"/>
                <w:sz w:val="16"/>
                <w:szCs w:val="16"/>
              </w:rPr>
              <w:t>$ 58.256</w:t>
            </w:r>
          </w:p>
        </w:tc>
        <w:tc>
          <w:tcPr>
            <w:tcW w:w="1331" w:type="dxa"/>
            <w:vAlign w:val="center"/>
          </w:tcPr>
          <w:p w14:paraId="646F2CC4" w14:textId="77777777" w:rsidR="0018473E" w:rsidRPr="00F635C4" w:rsidRDefault="00015EA5">
            <w:pPr>
              <w:jc w:val="center"/>
              <w:rPr>
                <w:sz w:val="16"/>
                <w:szCs w:val="16"/>
              </w:rPr>
            </w:pPr>
            <w:r w:rsidRPr="00F635C4">
              <w:rPr>
                <w:color w:val="000000"/>
                <w:sz w:val="16"/>
                <w:szCs w:val="16"/>
              </w:rPr>
              <w:t>$ 184.161</w:t>
            </w:r>
          </w:p>
        </w:tc>
        <w:tc>
          <w:tcPr>
            <w:tcW w:w="1225" w:type="dxa"/>
            <w:vAlign w:val="center"/>
          </w:tcPr>
          <w:p w14:paraId="18155677" w14:textId="77777777" w:rsidR="0018473E" w:rsidRPr="00F635C4" w:rsidRDefault="00015EA5">
            <w:pPr>
              <w:jc w:val="center"/>
              <w:rPr>
                <w:sz w:val="16"/>
                <w:szCs w:val="16"/>
              </w:rPr>
            </w:pPr>
            <w:r w:rsidRPr="00F635C4">
              <w:rPr>
                <w:color w:val="000000"/>
                <w:sz w:val="16"/>
                <w:szCs w:val="16"/>
              </w:rPr>
              <w:t>$ 312.261</w:t>
            </w:r>
          </w:p>
        </w:tc>
      </w:tr>
      <w:tr w:rsidR="0018473E" w:rsidRPr="00F635C4" w14:paraId="0644C6E1" w14:textId="77777777">
        <w:trPr>
          <w:trHeight w:val="308"/>
        </w:trPr>
        <w:tc>
          <w:tcPr>
            <w:tcW w:w="648" w:type="dxa"/>
            <w:vAlign w:val="center"/>
          </w:tcPr>
          <w:p w14:paraId="4F85CCBF" w14:textId="77777777" w:rsidR="0018473E" w:rsidRPr="00F635C4" w:rsidRDefault="00015EA5">
            <w:pPr>
              <w:jc w:val="center"/>
              <w:rPr>
                <w:sz w:val="16"/>
                <w:szCs w:val="16"/>
              </w:rPr>
            </w:pPr>
            <w:r w:rsidRPr="00F635C4">
              <w:rPr>
                <w:color w:val="000000"/>
                <w:sz w:val="16"/>
                <w:szCs w:val="16"/>
              </w:rPr>
              <w:t>11</w:t>
            </w:r>
          </w:p>
        </w:tc>
        <w:tc>
          <w:tcPr>
            <w:tcW w:w="1042" w:type="dxa"/>
            <w:vAlign w:val="center"/>
          </w:tcPr>
          <w:p w14:paraId="5B0C973F" w14:textId="77777777" w:rsidR="0018473E" w:rsidRPr="00F635C4" w:rsidRDefault="00015EA5">
            <w:pPr>
              <w:jc w:val="center"/>
              <w:rPr>
                <w:sz w:val="16"/>
                <w:szCs w:val="16"/>
              </w:rPr>
            </w:pPr>
            <w:r w:rsidRPr="00F635C4">
              <w:rPr>
                <w:color w:val="000000"/>
                <w:sz w:val="16"/>
                <w:szCs w:val="16"/>
              </w:rPr>
              <w:t> </w:t>
            </w:r>
          </w:p>
        </w:tc>
        <w:tc>
          <w:tcPr>
            <w:tcW w:w="1204" w:type="dxa"/>
            <w:vAlign w:val="center"/>
          </w:tcPr>
          <w:p w14:paraId="0D134041" w14:textId="77777777" w:rsidR="0018473E" w:rsidRPr="00F635C4" w:rsidRDefault="00015EA5">
            <w:pPr>
              <w:jc w:val="center"/>
              <w:rPr>
                <w:sz w:val="16"/>
                <w:szCs w:val="16"/>
              </w:rPr>
            </w:pPr>
            <w:r w:rsidRPr="00F635C4">
              <w:rPr>
                <w:color w:val="000000"/>
                <w:sz w:val="16"/>
                <w:szCs w:val="16"/>
              </w:rPr>
              <w:t> </w:t>
            </w:r>
          </w:p>
        </w:tc>
        <w:tc>
          <w:tcPr>
            <w:tcW w:w="1003" w:type="dxa"/>
            <w:vAlign w:val="center"/>
          </w:tcPr>
          <w:p w14:paraId="3694B476" w14:textId="77777777" w:rsidR="0018473E" w:rsidRPr="00F635C4" w:rsidRDefault="00015EA5">
            <w:pPr>
              <w:jc w:val="center"/>
              <w:rPr>
                <w:sz w:val="16"/>
                <w:szCs w:val="16"/>
              </w:rPr>
            </w:pPr>
            <w:r w:rsidRPr="00F635C4">
              <w:rPr>
                <w:color w:val="000000"/>
                <w:sz w:val="16"/>
                <w:szCs w:val="16"/>
              </w:rPr>
              <w:t>$ 30.533</w:t>
            </w:r>
          </w:p>
        </w:tc>
        <w:tc>
          <w:tcPr>
            <w:tcW w:w="1377" w:type="dxa"/>
            <w:vAlign w:val="center"/>
          </w:tcPr>
          <w:p w14:paraId="01DBEB36" w14:textId="77777777" w:rsidR="0018473E" w:rsidRPr="00F635C4" w:rsidRDefault="00015EA5">
            <w:pPr>
              <w:jc w:val="center"/>
              <w:rPr>
                <w:sz w:val="16"/>
                <w:szCs w:val="16"/>
              </w:rPr>
            </w:pPr>
            <w:r w:rsidRPr="00F635C4">
              <w:rPr>
                <w:color w:val="000000"/>
                <w:sz w:val="16"/>
                <w:szCs w:val="16"/>
              </w:rPr>
              <w:t>$ 0</w:t>
            </w:r>
          </w:p>
        </w:tc>
        <w:tc>
          <w:tcPr>
            <w:tcW w:w="1112" w:type="dxa"/>
            <w:vAlign w:val="center"/>
          </w:tcPr>
          <w:p w14:paraId="6CDB3003" w14:textId="77777777" w:rsidR="0018473E" w:rsidRPr="00F635C4" w:rsidRDefault="00015EA5">
            <w:pPr>
              <w:jc w:val="center"/>
              <w:rPr>
                <w:sz w:val="16"/>
                <w:szCs w:val="16"/>
              </w:rPr>
            </w:pPr>
            <w:r w:rsidRPr="00F635C4">
              <w:rPr>
                <w:color w:val="000000"/>
                <w:sz w:val="16"/>
                <w:szCs w:val="16"/>
              </w:rPr>
              <w:t>$ 0</w:t>
            </w:r>
          </w:p>
        </w:tc>
        <w:tc>
          <w:tcPr>
            <w:tcW w:w="1005" w:type="dxa"/>
            <w:vAlign w:val="center"/>
          </w:tcPr>
          <w:p w14:paraId="2FCDC22D" w14:textId="77777777" w:rsidR="0018473E" w:rsidRPr="00F635C4" w:rsidRDefault="00015EA5">
            <w:pPr>
              <w:jc w:val="center"/>
              <w:rPr>
                <w:sz w:val="16"/>
                <w:szCs w:val="16"/>
              </w:rPr>
            </w:pPr>
            <w:r w:rsidRPr="00F635C4">
              <w:rPr>
                <w:color w:val="000000"/>
                <w:sz w:val="16"/>
                <w:szCs w:val="16"/>
              </w:rPr>
              <w:t>$ 61.986</w:t>
            </w:r>
          </w:p>
        </w:tc>
        <w:tc>
          <w:tcPr>
            <w:tcW w:w="1331" w:type="dxa"/>
            <w:vAlign w:val="center"/>
          </w:tcPr>
          <w:p w14:paraId="039F1616" w14:textId="77777777" w:rsidR="0018473E" w:rsidRPr="00F635C4" w:rsidRDefault="00015EA5">
            <w:pPr>
              <w:jc w:val="center"/>
              <w:rPr>
                <w:sz w:val="16"/>
                <w:szCs w:val="16"/>
              </w:rPr>
            </w:pPr>
            <w:r w:rsidRPr="00F635C4">
              <w:rPr>
                <w:color w:val="000000"/>
                <w:sz w:val="16"/>
                <w:szCs w:val="16"/>
              </w:rPr>
              <w:t>$ 220.513</w:t>
            </w:r>
          </w:p>
        </w:tc>
        <w:tc>
          <w:tcPr>
            <w:tcW w:w="1225" w:type="dxa"/>
            <w:vAlign w:val="center"/>
          </w:tcPr>
          <w:p w14:paraId="091F0663" w14:textId="77777777" w:rsidR="0018473E" w:rsidRPr="00F635C4" w:rsidRDefault="00015EA5">
            <w:pPr>
              <w:jc w:val="center"/>
              <w:rPr>
                <w:sz w:val="16"/>
                <w:szCs w:val="16"/>
              </w:rPr>
            </w:pPr>
            <w:r w:rsidRPr="00F635C4">
              <w:rPr>
                <w:color w:val="000000"/>
                <w:sz w:val="16"/>
                <w:szCs w:val="16"/>
              </w:rPr>
              <w:t>$ 282.499</w:t>
            </w:r>
          </w:p>
        </w:tc>
      </w:tr>
      <w:tr w:rsidR="0018473E" w:rsidRPr="00F635C4" w14:paraId="69CEE2BE" w14:textId="77777777">
        <w:trPr>
          <w:trHeight w:val="308"/>
        </w:trPr>
        <w:tc>
          <w:tcPr>
            <w:tcW w:w="648" w:type="dxa"/>
            <w:vAlign w:val="center"/>
          </w:tcPr>
          <w:p w14:paraId="178E6116" w14:textId="77777777" w:rsidR="0018473E" w:rsidRPr="00F635C4" w:rsidRDefault="00015EA5">
            <w:pPr>
              <w:jc w:val="center"/>
              <w:rPr>
                <w:sz w:val="16"/>
                <w:szCs w:val="16"/>
              </w:rPr>
            </w:pPr>
            <w:r w:rsidRPr="00F635C4">
              <w:rPr>
                <w:color w:val="000000"/>
                <w:sz w:val="16"/>
                <w:szCs w:val="16"/>
              </w:rPr>
              <w:t>12</w:t>
            </w:r>
          </w:p>
        </w:tc>
        <w:tc>
          <w:tcPr>
            <w:tcW w:w="1042" w:type="dxa"/>
            <w:vAlign w:val="center"/>
          </w:tcPr>
          <w:p w14:paraId="4C2F3713" w14:textId="77777777" w:rsidR="0018473E" w:rsidRPr="00F635C4" w:rsidRDefault="00015EA5">
            <w:pPr>
              <w:jc w:val="center"/>
              <w:rPr>
                <w:sz w:val="16"/>
                <w:szCs w:val="16"/>
              </w:rPr>
            </w:pPr>
            <w:r w:rsidRPr="00F635C4">
              <w:rPr>
                <w:color w:val="000000"/>
                <w:sz w:val="16"/>
                <w:szCs w:val="16"/>
              </w:rPr>
              <w:t> </w:t>
            </w:r>
          </w:p>
        </w:tc>
        <w:tc>
          <w:tcPr>
            <w:tcW w:w="1204" w:type="dxa"/>
            <w:vAlign w:val="center"/>
          </w:tcPr>
          <w:p w14:paraId="4A60A294" w14:textId="77777777" w:rsidR="0018473E" w:rsidRPr="00F635C4" w:rsidRDefault="00015EA5">
            <w:pPr>
              <w:jc w:val="center"/>
              <w:rPr>
                <w:sz w:val="16"/>
                <w:szCs w:val="16"/>
              </w:rPr>
            </w:pPr>
            <w:r w:rsidRPr="00F635C4">
              <w:rPr>
                <w:color w:val="000000"/>
                <w:sz w:val="16"/>
                <w:szCs w:val="16"/>
              </w:rPr>
              <w:t> </w:t>
            </w:r>
          </w:p>
        </w:tc>
        <w:tc>
          <w:tcPr>
            <w:tcW w:w="1003" w:type="dxa"/>
            <w:vAlign w:val="center"/>
          </w:tcPr>
          <w:p w14:paraId="7849D6F6" w14:textId="77777777" w:rsidR="0018473E" w:rsidRPr="00F635C4" w:rsidRDefault="00015EA5">
            <w:pPr>
              <w:jc w:val="center"/>
              <w:rPr>
                <w:sz w:val="16"/>
                <w:szCs w:val="16"/>
              </w:rPr>
            </w:pPr>
            <w:r w:rsidRPr="00F635C4">
              <w:rPr>
                <w:color w:val="000000"/>
                <w:sz w:val="16"/>
                <w:szCs w:val="16"/>
              </w:rPr>
              <w:t>$ 36.095</w:t>
            </w:r>
          </w:p>
        </w:tc>
        <w:tc>
          <w:tcPr>
            <w:tcW w:w="1377" w:type="dxa"/>
            <w:vAlign w:val="center"/>
          </w:tcPr>
          <w:p w14:paraId="43C89B58" w14:textId="77777777" w:rsidR="0018473E" w:rsidRPr="00F635C4" w:rsidRDefault="00015EA5">
            <w:pPr>
              <w:jc w:val="center"/>
              <w:rPr>
                <w:sz w:val="16"/>
                <w:szCs w:val="16"/>
              </w:rPr>
            </w:pPr>
            <w:r w:rsidRPr="00F635C4">
              <w:rPr>
                <w:color w:val="000000"/>
                <w:sz w:val="16"/>
                <w:szCs w:val="16"/>
              </w:rPr>
              <w:t> </w:t>
            </w:r>
          </w:p>
        </w:tc>
        <w:tc>
          <w:tcPr>
            <w:tcW w:w="1112" w:type="dxa"/>
            <w:vAlign w:val="center"/>
          </w:tcPr>
          <w:p w14:paraId="01FC621A" w14:textId="77777777" w:rsidR="0018473E" w:rsidRPr="00F635C4" w:rsidRDefault="00015EA5">
            <w:pPr>
              <w:jc w:val="center"/>
              <w:rPr>
                <w:sz w:val="16"/>
                <w:szCs w:val="16"/>
              </w:rPr>
            </w:pPr>
            <w:r w:rsidRPr="00F635C4">
              <w:rPr>
                <w:color w:val="000000"/>
                <w:sz w:val="16"/>
                <w:szCs w:val="16"/>
              </w:rPr>
              <w:t> </w:t>
            </w:r>
          </w:p>
        </w:tc>
        <w:tc>
          <w:tcPr>
            <w:tcW w:w="1005" w:type="dxa"/>
            <w:vAlign w:val="center"/>
          </w:tcPr>
          <w:p w14:paraId="4A4C3ED6" w14:textId="77777777" w:rsidR="0018473E" w:rsidRPr="00F635C4" w:rsidRDefault="00015EA5">
            <w:pPr>
              <w:jc w:val="center"/>
              <w:rPr>
                <w:sz w:val="16"/>
                <w:szCs w:val="16"/>
              </w:rPr>
            </w:pPr>
            <w:r w:rsidRPr="00F635C4">
              <w:rPr>
                <w:color w:val="000000"/>
                <w:sz w:val="16"/>
                <w:szCs w:val="16"/>
              </w:rPr>
              <w:t> </w:t>
            </w:r>
          </w:p>
        </w:tc>
        <w:tc>
          <w:tcPr>
            <w:tcW w:w="1331" w:type="dxa"/>
            <w:vAlign w:val="center"/>
          </w:tcPr>
          <w:p w14:paraId="6A1364D8" w14:textId="77777777" w:rsidR="0018473E" w:rsidRPr="00F635C4" w:rsidRDefault="00015EA5">
            <w:pPr>
              <w:jc w:val="center"/>
              <w:rPr>
                <w:sz w:val="16"/>
                <w:szCs w:val="16"/>
              </w:rPr>
            </w:pPr>
            <w:r w:rsidRPr="00F635C4">
              <w:rPr>
                <w:color w:val="000000"/>
                <w:sz w:val="16"/>
                <w:szCs w:val="16"/>
              </w:rPr>
              <w:t>$ 260.687</w:t>
            </w:r>
          </w:p>
        </w:tc>
        <w:tc>
          <w:tcPr>
            <w:tcW w:w="1225" w:type="dxa"/>
            <w:vAlign w:val="center"/>
          </w:tcPr>
          <w:p w14:paraId="05109FCB" w14:textId="77777777" w:rsidR="0018473E" w:rsidRPr="00F635C4" w:rsidRDefault="00015EA5">
            <w:pPr>
              <w:jc w:val="center"/>
              <w:rPr>
                <w:sz w:val="16"/>
                <w:szCs w:val="16"/>
              </w:rPr>
            </w:pPr>
            <w:r w:rsidRPr="00F635C4">
              <w:rPr>
                <w:color w:val="000000"/>
                <w:sz w:val="16"/>
                <w:szCs w:val="16"/>
              </w:rPr>
              <w:t>$ 260.687</w:t>
            </w:r>
          </w:p>
        </w:tc>
      </w:tr>
      <w:tr w:rsidR="0018473E" w:rsidRPr="00F635C4" w14:paraId="46799E42" w14:textId="77777777">
        <w:trPr>
          <w:trHeight w:val="308"/>
        </w:trPr>
        <w:tc>
          <w:tcPr>
            <w:tcW w:w="648" w:type="dxa"/>
            <w:vAlign w:val="center"/>
          </w:tcPr>
          <w:p w14:paraId="40DD9579" w14:textId="77777777" w:rsidR="0018473E" w:rsidRPr="00F635C4" w:rsidRDefault="00015EA5">
            <w:pPr>
              <w:jc w:val="center"/>
              <w:rPr>
                <w:sz w:val="16"/>
                <w:szCs w:val="16"/>
              </w:rPr>
            </w:pPr>
            <w:r w:rsidRPr="00F635C4">
              <w:rPr>
                <w:color w:val="000000"/>
                <w:sz w:val="16"/>
                <w:szCs w:val="16"/>
              </w:rPr>
              <w:t>13</w:t>
            </w:r>
          </w:p>
        </w:tc>
        <w:tc>
          <w:tcPr>
            <w:tcW w:w="1042" w:type="dxa"/>
            <w:vAlign w:val="center"/>
          </w:tcPr>
          <w:p w14:paraId="0FBC25DE" w14:textId="77777777" w:rsidR="0018473E" w:rsidRPr="00F635C4" w:rsidRDefault="00015EA5">
            <w:pPr>
              <w:jc w:val="center"/>
              <w:rPr>
                <w:sz w:val="16"/>
                <w:szCs w:val="16"/>
              </w:rPr>
            </w:pPr>
            <w:r w:rsidRPr="00F635C4">
              <w:rPr>
                <w:color w:val="000000"/>
                <w:sz w:val="16"/>
                <w:szCs w:val="16"/>
              </w:rPr>
              <w:t> </w:t>
            </w:r>
          </w:p>
        </w:tc>
        <w:tc>
          <w:tcPr>
            <w:tcW w:w="1204" w:type="dxa"/>
            <w:vAlign w:val="center"/>
          </w:tcPr>
          <w:p w14:paraId="40056022" w14:textId="77777777" w:rsidR="0018473E" w:rsidRPr="00F635C4" w:rsidRDefault="00015EA5">
            <w:pPr>
              <w:jc w:val="center"/>
              <w:rPr>
                <w:sz w:val="16"/>
                <w:szCs w:val="16"/>
              </w:rPr>
            </w:pPr>
            <w:r w:rsidRPr="00F635C4">
              <w:rPr>
                <w:color w:val="000000"/>
                <w:sz w:val="16"/>
                <w:szCs w:val="16"/>
              </w:rPr>
              <w:t> </w:t>
            </w:r>
          </w:p>
        </w:tc>
        <w:tc>
          <w:tcPr>
            <w:tcW w:w="1003" w:type="dxa"/>
            <w:vAlign w:val="center"/>
          </w:tcPr>
          <w:p w14:paraId="2945D1D1" w14:textId="77777777" w:rsidR="0018473E" w:rsidRPr="00F635C4" w:rsidRDefault="00015EA5">
            <w:pPr>
              <w:jc w:val="center"/>
              <w:rPr>
                <w:sz w:val="16"/>
                <w:szCs w:val="16"/>
              </w:rPr>
            </w:pPr>
            <w:r w:rsidRPr="00F635C4">
              <w:rPr>
                <w:color w:val="000000"/>
                <w:sz w:val="16"/>
                <w:szCs w:val="16"/>
              </w:rPr>
              <w:t>$ 34.523</w:t>
            </w:r>
          </w:p>
        </w:tc>
        <w:tc>
          <w:tcPr>
            <w:tcW w:w="1377" w:type="dxa"/>
            <w:vAlign w:val="center"/>
          </w:tcPr>
          <w:p w14:paraId="768F141E" w14:textId="77777777" w:rsidR="0018473E" w:rsidRPr="00F635C4" w:rsidRDefault="00015EA5">
            <w:pPr>
              <w:jc w:val="center"/>
              <w:rPr>
                <w:sz w:val="16"/>
                <w:szCs w:val="16"/>
              </w:rPr>
            </w:pPr>
            <w:r w:rsidRPr="00F635C4">
              <w:rPr>
                <w:color w:val="000000"/>
                <w:sz w:val="16"/>
                <w:szCs w:val="16"/>
              </w:rPr>
              <w:t> </w:t>
            </w:r>
          </w:p>
        </w:tc>
        <w:tc>
          <w:tcPr>
            <w:tcW w:w="1112" w:type="dxa"/>
            <w:vAlign w:val="center"/>
          </w:tcPr>
          <w:p w14:paraId="6A03B0E4" w14:textId="77777777" w:rsidR="0018473E" w:rsidRPr="00F635C4" w:rsidRDefault="00015EA5">
            <w:pPr>
              <w:jc w:val="center"/>
              <w:rPr>
                <w:sz w:val="16"/>
                <w:szCs w:val="16"/>
              </w:rPr>
            </w:pPr>
            <w:r w:rsidRPr="00F635C4">
              <w:rPr>
                <w:color w:val="000000"/>
                <w:sz w:val="16"/>
                <w:szCs w:val="16"/>
              </w:rPr>
              <w:t> </w:t>
            </w:r>
          </w:p>
        </w:tc>
        <w:tc>
          <w:tcPr>
            <w:tcW w:w="1005" w:type="dxa"/>
            <w:vAlign w:val="center"/>
          </w:tcPr>
          <w:p w14:paraId="2AA60D8C" w14:textId="77777777" w:rsidR="0018473E" w:rsidRPr="00F635C4" w:rsidRDefault="00015EA5">
            <w:pPr>
              <w:jc w:val="center"/>
              <w:rPr>
                <w:sz w:val="16"/>
                <w:szCs w:val="16"/>
              </w:rPr>
            </w:pPr>
            <w:r w:rsidRPr="00F635C4">
              <w:rPr>
                <w:color w:val="000000"/>
                <w:sz w:val="16"/>
                <w:szCs w:val="16"/>
              </w:rPr>
              <w:t> </w:t>
            </w:r>
          </w:p>
        </w:tc>
        <w:tc>
          <w:tcPr>
            <w:tcW w:w="1331" w:type="dxa"/>
            <w:vAlign w:val="center"/>
          </w:tcPr>
          <w:p w14:paraId="3F626ADB" w14:textId="77777777" w:rsidR="0018473E" w:rsidRPr="00F635C4" w:rsidRDefault="00015EA5">
            <w:pPr>
              <w:jc w:val="center"/>
              <w:rPr>
                <w:sz w:val="16"/>
                <w:szCs w:val="16"/>
              </w:rPr>
            </w:pPr>
            <w:r w:rsidRPr="00F635C4">
              <w:rPr>
                <w:color w:val="000000"/>
                <w:sz w:val="16"/>
                <w:szCs w:val="16"/>
              </w:rPr>
              <w:t>$ 274.988</w:t>
            </w:r>
          </w:p>
        </w:tc>
        <w:tc>
          <w:tcPr>
            <w:tcW w:w="1225" w:type="dxa"/>
            <w:vAlign w:val="center"/>
          </w:tcPr>
          <w:p w14:paraId="3DAA39D6" w14:textId="77777777" w:rsidR="0018473E" w:rsidRPr="00F635C4" w:rsidRDefault="00015EA5">
            <w:pPr>
              <w:jc w:val="center"/>
              <w:rPr>
                <w:sz w:val="16"/>
                <w:szCs w:val="16"/>
              </w:rPr>
            </w:pPr>
            <w:r w:rsidRPr="00F635C4">
              <w:rPr>
                <w:color w:val="000000"/>
                <w:sz w:val="16"/>
                <w:szCs w:val="16"/>
              </w:rPr>
              <w:t>$ 274.988</w:t>
            </w:r>
          </w:p>
        </w:tc>
      </w:tr>
      <w:tr w:rsidR="0018473E" w:rsidRPr="00F635C4" w14:paraId="5433CFC2" w14:textId="77777777">
        <w:trPr>
          <w:trHeight w:val="308"/>
        </w:trPr>
        <w:tc>
          <w:tcPr>
            <w:tcW w:w="648" w:type="dxa"/>
            <w:vAlign w:val="center"/>
          </w:tcPr>
          <w:p w14:paraId="42B929CF" w14:textId="77777777" w:rsidR="0018473E" w:rsidRPr="00F635C4" w:rsidRDefault="00015EA5">
            <w:pPr>
              <w:jc w:val="center"/>
              <w:rPr>
                <w:sz w:val="16"/>
                <w:szCs w:val="16"/>
              </w:rPr>
            </w:pPr>
            <w:r w:rsidRPr="00F635C4">
              <w:rPr>
                <w:color w:val="000000"/>
                <w:sz w:val="16"/>
                <w:szCs w:val="16"/>
              </w:rPr>
              <w:t>14</w:t>
            </w:r>
          </w:p>
        </w:tc>
        <w:tc>
          <w:tcPr>
            <w:tcW w:w="1042" w:type="dxa"/>
            <w:vAlign w:val="center"/>
          </w:tcPr>
          <w:p w14:paraId="5485D040" w14:textId="77777777" w:rsidR="0018473E" w:rsidRPr="00F635C4" w:rsidRDefault="00015EA5">
            <w:pPr>
              <w:jc w:val="center"/>
              <w:rPr>
                <w:sz w:val="16"/>
                <w:szCs w:val="16"/>
              </w:rPr>
            </w:pPr>
            <w:r w:rsidRPr="00F635C4">
              <w:rPr>
                <w:color w:val="000000"/>
                <w:sz w:val="16"/>
                <w:szCs w:val="16"/>
              </w:rPr>
              <w:t> </w:t>
            </w:r>
          </w:p>
        </w:tc>
        <w:tc>
          <w:tcPr>
            <w:tcW w:w="1204" w:type="dxa"/>
            <w:vAlign w:val="center"/>
          </w:tcPr>
          <w:p w14:paraId="2C93103A" w14:textId="77777777" w:rsidR="0018473E" w:rsidRPr="00F635C4" w:rsidRDefault="00015EA5">
            <w:pPr>
              <w:jc w:val="center"/>
              <w:rPr>
                <w:sz w:val="16"/>
                <w:szCs w:val="16"/>
              </w:rPr>
            </w:pPr>
            <w:r w:rsidRPr="00F635C4">
              <w:rPr>
                <w:color w:val="000000"/>
                <w:sz w:val="16"/>
                <w:szCs w:val="16"/>
              </w:rPr>
              <w:t> </w:t>
            </w:r>
          </w:p>
        </w:tc>
        <w:tc>
          <w:tcPr>
            <w:tcW w:w="1003" w:type="dxa"/>
            <w:vAlign w:val="center"/>
          </w:tcPr>
          <w:p w14:paraId="20E246E8" w14:textId="77777777" w:rsidR="0018473E" w:rsidRPr="00F635C4" w:rsidRDefault="00015EA5">
            <w:pPr>
              <w:jc w:val="center"/>
              <w:rPr>
                <w:sz w:val="16"/>
                <w:szCs w:val="16"/>
              </w:rPr>
            </w:pPr>
            <w:r w:rsidRPr="00F635C4">
              <w:rPr>
                <w:color w:val="000000"/>
                <w:sz w:val="16"/>
                <w:szCs w:val="16"/>
              </w:rPr>
              <w:t>$ 32.611</w:t>
            </w:r>
          </w:p>
        </w:tc>
        <w:tc>
          <w:tcPr>
            <w:tcW w:w="1377" w:type="dxa"/>
            <w:vAlign w:val="center"/>
          </w:tcPr>
          <w:p w14:paraId="23C6F0D9" w14:textId="77777777" w:rsidR="0018473E" w:rsidRPr="00F635C4" w:rsidRDefault="00015EA5">
            <w:pPr>
              <w:jc w:val="center"/>
              <w:rPr>
                <w:sz w:val="16"/>
                <w:szCs w:val="16"/>
              </w:rPr>
            </w:pPr>
            <w:r w:rsidRPr="00F635C4">
              <w:rPr>
                <w:color w:val="000000"/>
                <w:sz w:val="16"/>
                <w:szCs w:val="16"/>
              </w:rPr>
              <w:t> </w:t>
            </w:r>
          </w:p>
        </w:tc>
        <w:tc>
          <w:tcPr>
            <w:tcW w:w="1112" w:type="dxa"/>
            <w:vAlign w:val="center"/>
          </w:tcPr>
          <w:p w14:paraId="22128203" w14:textId="77777777" w:rsidR="0018473E" w:rsidRPr="00F635C4" w:rsidRDefault="00015EA5">
            <w:pPr>
              <w:jc w:val="center"/>
              <w:rPr>
                <w:sz w:val="16"/>
                <w:szCs w:val="16"/>
              </w:rPr>
            </w:pPr>
            <w:r w:rsidRPr="00F635C4">
              <w:rPr>
                <w:color w:val="000000"/>
                <w:sz w:val="16"/>
                <w:szCs w:val="16"/>
              </w:rPr>
              <w:t> </w:t>
            </w:r>
          </w:p>
        </w:tc>
        <w:tc>
          <w:tcPr>
            <w:tcW w:w="1005" w:type="dxa"/>
            <w:vAlign w:val="center"/>
          </w:tcPr>
          <w:p w14:paraId="3B126403" w14:textId="77777777" w:rsidR="0018473E" w:rsidRPr="00F635C4" w:rsidRDefault="00015EA5">
            <w:pPr>
              <w:jc w:val="center"/>
              <w:rPr>
                <w:sz w:val="16"/>
                <w:szCs w:val="16"/>
              </w:rPr>
            </w:pPr>
            <w:r w:rsidRPr="00F635C4">
              <w:rPr>
                <w:color w:val="000000"/>
                <w:sz w:val="16"/>
                <w:szCs w:val="16"/>
              </w:rPr>
              <w:t> </w:t>
            </w:r>
          </w:p>
        </w:tc>
        <w:tc>
          <w:tcPr>
            <w:tcW w:w="1331" w:type="dxa"/>
            <w:vAlign w:val="center"/>
          </w:tcPr>
          <w:p w14:paraId="4B93A666" w14:textId="77777777" w:rsidR="0018473E" w:rsidRPr="00F635C4" w:rsidRDefault="00015EA5">
            <w:pPr>
              <w:jc w:val="center"/>
              <w:rPr>
                <w:sz w:val="16"/>
                <w:szCs w:val="16"/>
              </w:rPr>
            </w:pPr>
            <w:r w:rsidRPr="00F635C4">
              <w:rPr>
                <w:color w:val="000000"/>
                <w:sz w:val="16"/>
                <w:szCs w:val="16"/>
              </w:rPr>
              <w:t>$ 290.138</w:t>
            </w:r>
          </w:p>
        </w:tc>
        <w:tc>
          <w:tcPr>
            <w:tcW w:w="1225" w:type="dxa"/>
            <w:vAlign w:val="center"/>
          </w:tcPr>
          <w:p w14:paraId="7A6372B0" w14:textId="77777777" w:rsidR="0018473E" w:rsidRPr="00F635C4" w:rsidRDefault="00015EA5">
            <w:pPr>
              <w:jc w:val="center"/>
              <w:rPr>
                <w:sz w:val="16"/>
                <w:szCs w:val="16"/>
              </w:rPr>
            </w:pPr>
            <w:r w:rsidRPr="00F635C4">
              <w:rPr>
                <w:color w:val="000000"/>
                <w:sz w:val="16"/>
                <w:szCs w:val="16"/>
              </w:rPr>
              <w:t>$ 290.138</w:t>
            </w:r>
          </w:p>
        </w:tc>
      </w:tr>
      <w:tr w:rsidR="0018473E" w:rsidRPr="00F635C4" w14:paraId="6686484A" w14:textId="77777777">
        <w:trPr>
          <w:trHeight w:val="308"/>
        </w:trPr>
        <w:tc>
          <w:tcPr>
            <w:tcW w:w="648" w:type="dxa"/>
            <w:vAlign w:val="center"/>
          </w:tcPr>
          <w:p w14:paraId="62B62F33" w14:textId="77777777" w:rsidR="0018473E" w:rsidRPr="00F635C4" w:rsidRDefault="00015EA5">
            <w:pPr>
              <w:jc w:val="center"/>
              <w:rPr>
                <w:sz w:val="16"/>
                <w:szCs w:val="16"/>
              </w:rPr>
            </w:pPr>
            <w:r w:rsidRPr="00F635C4">
              <w:rPr>
                <w:color w:val="000000"/>
                <w:sz w:val="16"/>
                <w:szCs w:val="16"/>
              </w:rPr>
              <w:t>15</w:t>
            </w:r>
          </w:p>
        </w:tc>
        <w:tc>
          <w:tcPr>
            <w:tcW w:w="1042" w:type="dxa"/>
            <w:vAlign w:val="center"/>
          </w:tcPr>
          <w:p w14:paraId="023D9CAF" w14:textId="77777777" w:rsidR="0018473E" w:rsidRPr="00F635C4" w:rsidRDefault="00015EA5">
            <w:pPr>
              <w:jc w:val="center"/>
              <w:rPr>
                <w:sz w:val="16"/>
                <w:szCs w:val="16"/>
              </w:rPr>
            </w:pPr>
            <w:r w:rsidRPr="00F635C4">
              <w:rPr>
                <w:color w:val="000000"/>
                <w:sz w:val="16"/>
                <w:szCs w:val="16"/>
              </w:rPr>
              <w:t> </w:t>
            </w:r>
          </w:p>
        </w:tc>
        <w:tc>
          <w:tcPr>
            <w:tcW w:w="1204" w:type="dxa"/>
            <w:vAlign w:val="center"/>
          </w:tcPr>
          <w:p w14:paraId="10B0A14C" w14:textId="77777777" w:rsidR="0018473E" w:rsidRPr="00F635C4" w:rsidRDefault="00015EA5">
            <w:pPr>
              <w:jc w:val="center"/>
              <w:rPr>
                <w:sz w:val="16"/>
                <w:szCs w:val="16"/>
              </w:rPr>
            </w:pPr>
            <w:r w:rsidRPr="00F635C4">
              <w:rPr>
                <w:color w:val="000000"/>
                <w:sz w:val="16"/>
                <w:szCs w:val="16"/>
              </w:rPr>
              <w:t> </w:t>
            </w:r>
          </w:p>
        </w:tc>
        <w:tc>
          <w:tcPr>
            <w:tcW w:w="1003" w:type="dxa"/>
            <w:vAlign w:val="center"/>
          </w:tcPr>
          <w:p w14:paraId="63288B2B" w14:textId="77777777" w:rsidR="0018473E" w:rsidRPr="00F635C4" w:rsidRDefault="00015EA5">
            <w:pPr>
              <w:jc w:val="center"/>
              <w:rPr>
                <w:sz w:val="16"/>
                <w:szCs w:val="16"/>
              </w:rPr>
            </w:pPr>
            <w:r w:rsidRPr="00F635C4">
              <w:rPr>
                <w:color w:val="000000"/>
                <w:sz w:val="16"/>
                <w:szCs w:val="16"/>
              </w:rPr>
              <w:t>$ 30.326</w:t>
            </w:r>
          </w:p>
        </w:tc>
        <w:tc>
          <w:tcPr>
            <w:tcW w:w="1377" w:type="dxa"/>
            <w:vAlign w:val="center"/>
          </w:tcPr>
          <w:p w14:paraId="256FE80F" w14:textId="77777777" w:rsidR="0018473E" w:rsidRPr="00F635C4" w:rsidRDefault="00015EA5">
            <w:pPr>
              <w:jc w:val="center"/>
              <w:rPr>
                <w:sz w:val="16"/>
                <w:szCs w:val="16"/>
              </w:rPr>
            </w:pPr>
            <w:r w:rsidRPr="00F635C4">
              <w:rPr>
                <w:color w:val="000000"/>
                <w:sz w:val="16"/>
                <w:szCs w:val="16"/>
              </w:rPr>
              <w:t> </w:t>
            </w:r>
          </w:p>
        </w:tc>
        <w:tc>
          <w:tcPr>
            <w:tcW w:w="1112" w:type="dxa"/>
            <w:vAlign w:val="center"/>
          </w:tcPr>
          <w:p w14:paraId="51264F74" w14:textId="77777777" w:rsidR="0018473E" w:rsidRPr="00F635C4" w:rsidRDefault="00015EA5">
            <w:pPr>
              <w:jc w:val="center"/>
              <w:rPr>
                <w:sz w:val="16"/>
                <w:szCs w:val="16"/>
              </w:rPr>
            </w:pPr>
            <w:r w:rsidRPr="00F635C4">
              <w:rPr>
                <w:color w:val="000000"/>
                <w:sz w:val="16"/>
                <w:szCs w:val="16"/>
              </w:rPr>
              <w:t> </w:t>
            </w:r>
          </w:p>
        </w:tc>
        <w:tc>
          <w:tcPr>
            <w:tcW w:w="1005" w:type="dxa"/>
            <w:vAlign w:val="center"/>
          </w:tcPr>
          <w:p w14:paraId="45C30456" w14:textId="77777777" w:rsidR="0018473E" w:rsidRPr="00F635C4" w:rsidRDefault="00015EA5">
            <w:pPr>
              <w:jc w:val="center"/>
              <w:rPr>
                <w:sz w:val="16"/>
                <w:szCs w:val="16"/>
              </w:rPr>
            </w:pPr>
            <w:r w:rsidRPr="00F635C4">
              <w:rPr>
                <w:color w:val="000000"/>
                <w:sz w:val="16"/>
                <w:szCs w:val="16"/>
              </w:rPr>
              <w:t> </w:t>
            </w:r>
          </w:p>
        </w:tc>
        <w:tc>
          <w:tcPr>
            <w:tcW w:w="1331" w:type="dxa"/>
            <w:vAlign w:val="center"/>
          </w:tcPr>
          <w:p w14:paraId="658A1FFF" w14:textId="77777777" w:rsidR="0018473E" w:rsidRPr="00F635C4" w:rsidRDefault="00015EA5">
            <w:pPr>
              <w:jc w:val="center"/>
              <w:rPr>
                <w:sz w:val="16"/>
                <w:szCs w:val="16"/>
              </w:rPr>
            </w:pPr>
            <w:r w:rsidRPr="00F635C4">
              <w:rPr>
                <w:color w:val="000000"/>
                <w:sz w:val="16"/>
                <w:szCs w:val="16"/>
              </w:rPr>
              <w:t>$ 306.188</w:t>
            </w:r>
          </w:p>
        </w:tc>
        <w:tc>
          <w:tcPr>
            <w:tcW w:w="1225" w:type="dxa"/>
            <w:vAlign w:val="center"/>
          </w:tcPr>
          <w:p w14:paraId="7EFA61C9" w14:textId="77777777" w:rsidR="0018473E" w:rsidRPr="00F635C4" w:rsidRDefault="00015EA5">
            <w:pPr>
              <w:jc w:val="center"/>
              <w:rPr>
                <w:sz w:val="16"/>
                <w:szCs w:val="16"/>
              </w:rPr>
            </w:pPr>
            <w:r w:rsidRPr="00F635C4">
              <w:rPr>
                <w:color w:val="000000"/>
                <w:sz w:val="16"/>
                <w:szCs w:val="16"/>
              </w:rPr>
              <w:t>$ 306.188</w:t>
            </w:r>
          </w:p>
        </w:tc>
      </w:tr>
      <w:tr w:rsidR="0018473E" w:rsidRPr="00F635C4" w14:paraId="740FE73C" w14:textId="77777777">
        <w:trPr>
          <w:trHeight w:val="308"/>
        </w:trPr>
        <w:tc>
          <w:tcPr>
            <w:tcW w:w="648" w:type="dxa"/>
            <w:vAlign w:val="center"/>
          </w:tcPr>
          <w:p w14:paraId="48902ADB" w14:textId="77777777" w:rsidR="0018473E" w:rsidRPr="00F635C4" w:rsidRDefault="00015EA5">
            <w:pPr>
              <w:jc w:val="center"/>
              <w:rPr>
                <w:sz w:val="16"/>
                <w:szCs w:val="16"/>
              </w:rPr>
            </w:pPr>
            <w:r w:rsidRPr="00F635C4">
              <w:rPr>
                <w:color w:val="000000"/>
                <w:sz w:val="16"/>
                <w:szCs w:val="16"/>
              </w:rPr>
              <w:t>16</w:t>
            </w:r>
          </w:p>
        </w:tc>
        <w:tc>
          <w:tcPr>
            <w:tcW w:w="1042" w:type="dxa"/>
            <w:vAlign w:val="center"/>
          </w:tcPr>
          <w:p w14:paraId="5DC8E395" w14:textId="77777777" w:rsidR="0018473E" w:rsidRPr="00F635C4" w:rsidRDefault="00015EA5">
            <w:pPr>
              <w:jc w:val="center"/>
              <w:rPr>
                <w:sz w:val="16"/>
                <w:szCs w:val="16"/>
              </w:rPr>
            </w:pPr>
            <w:r w:rsidRPr="00F635C4">
              <w:rPr>
                <w:color w:val="000000"/>
                <w:sz w:val="16"/>
                <w:szCs w:val="16"/>
              </w:rPr>
              <w:t> </w:t>
            </w:r>
          </w:p>
        </w:tc>
        <w:tc>
          <w:tcPr>
            <w:tcW w:w="1204" w:type="dxa"/>
            <w:vAlign w:val="center"/>
          </w:tcPr>
          <w:p w14:paraId="7ECFA4AA" w14:textId="77777777" w:rsidR="0018473E" w:rsidRPr="00F635C4" w:rsidRDefault="00015EA5">
            <w:pPr>
              <w:jc w:val="center"/>
              <w:rPr>
                <w:sz w:val="16"/>
                <w:szCs w:val="16"/>
              </w:rPr>
            </w:pPr>
            <w:r w:rsidRPr="00F635C4">
              <w:rPr>
                <w:color w:val="000000"/>
                <w:sz w:val="16"/>
                <w:szCs w:val="16"/>
              </w:rPr>
              <w:t> </w:t>
            </w:r>
          </w:p>
        </w:tc>
        <w:tc>
          <w:tcPr>
            <w:tcW w:w="1003" w:type="dxa"/>
            <w:vAlign w:val="center"/>
          </w:tcPr>
          <w:p w14:paraId="7EED1048" w14:textId="77777777" w:rsidR="0018473E" w:rsidRPr="00F635C4" w:rsidRDefault="00015EA5">
            <w:pPr>
              <w:jc w:val="center"/>
              <w:rPr>
                <w:sz w:val="16"/>
                <w:szCs w:val="16"/>
              </w:rPr>
            </w:pPr>
            <w:r w:rsidRPr="00F635C4">
              <w:rPr>
                <w:color w:val="000000"/>
                <w:sz w:val="16"/>
                <w:szCs w:val="16"/>
              </w:rPr>
              <w:t>$ 27.662</w:t>
            </w:r>
          </w:p>
        </w:tc>
        <w:tc>
          <w:tcPr>
            <w:tcW w:w="1377" w:type="dxa"/>
            <w:vAlign w:val="center"/>
          </w:tcPr>
          <w:p w14:paraId="6796842D" w14:textId="77777777" w:rsidR="0018473E" w:rsidRPr="00F635C4" w:rsidRDefault="00015EA5">
            <w:pPr>
              <w:jc w:val="center"/>
              <w:rPr>
                <w:sz w:val="16"/>
                <w:szCs w:val="16"/>
              </w:rPr>
            </w:pPr>
            <w:r w:rsidRPr="00F635C4">
              <w:rPr>
                <w:color w:val="000000"/>
                <w:sz w:val="16"/>
                <w:szCs w:val="16"/>
              </w:rPr>
              <w:t> </w:t>
            </w:r>
          </w:p>
        </w:tc>
        <w:tc>
          <w:tcPr>
            <w:tcW w:w="1112" w:type="dxa"/>
            <w:vAlign w:val="center"/>
          </w:tcPr>
          <w:p w14:paraId="1459B374" w14:textId="77777777" w:rsidR="0018473E" w:rsidRPr="00F635C4" w:rsidRDefault="00015EA5">
            <w:pPr>
              <w:jc w:val="center"/>
              <w:rPr>
                <w:sz w:val="16"/>
                <w:szCs w:val="16"/>
              </w:rPr>
            </w:pPr>
            <w:r w:rsidRPr="00F635C4">
              <w:rPr>
                <w:color w:val="000000"/>
                <w:sz w:val="16"/>
                <w:szCs w:val="16"/>
              </w:rPr>
              <w:t> </w:t>
            </w:r>
          </w:p>
        </w:tc>
        <w:tc>
          <w:tcPr>
            <w:tcW w:w="1005" w:type="dxa"/>
            <w:vAlign w:val="center"/>
          </w:tcPr>
          <w:p w14:paraId="50461B58" w14:textId="77777777" w:rsidR="0018473E" w:rsidRPr="00F635C4" w:rsidRDefault="00015EA5">
            <w:pPr>
              <w:jc w:val="center"/>
              <w:rPr>
                <w:sz w:val="16"/>
                <w:szCs w:val="16"/>
              </w:rPr>
            </w:pPr>
            <w:r w:rsidRPr="00F635C4">
              <w:rPr>
                <w:color w:val="000000"/>
                <w:sz w:val="16"/>
                <w:szCs w:val="16"/>
              </w:rPr>
              <w:t> </w:t>
            </w:r>
          </w:p>
        </w:tc>
        <w:tc>
          <w:tcPr>
            <w:tcW w:w="1331" w:type="dxa"/>
            <w:vAlign w:val="center"/>
          </w:tcPr>
          <w:p w14:paraId="2C93CD45" w14:textId="77777777" w:rsidR="0018473E" w:rsidRPr="00F635C4" w:rsidRDefault="00015EA5">
            <w:pPr>
              <w:jc w:val="center"/>
              <w:rPr>
                <w:sz w:val="16"/>
                <w:szCs w:val="16"/>
              </w:rPr>
            </w:pPr>
            <w:r w:rsidRPr="00F635C4">
              <w:rPr>
                <w:color w:val="000000"/>
                <w:sz w:val="16"/>
                <w:szCs w:val="16"/>
              </w:rPr>
              <w:t>$ 323.172</w:t>
            </w:r>
          </w:p>
        </w:tc>
        <w:tc>
          <w:tcPr>
            <w:tcW w:w="1225" w:type="dxa"/>
            <w:vAlign w:val="center"/>
          </w:tcPr>
          <w:p w14:paraId="3D36A2CA" w14:textId="77777777" w:rsidR="0018473E" w:rsidRPr="00F635C4" w:rsidRDefault="00015EA5">
            <w:pPr>
              <w:jc w:val="center"/>
              <w:rPr>
                <w:sz w:val="16"/>
                <w:szCs w:val="16"/>
              </w:rPr>
            </w:pPr>
            <w:r w:rsidRPr="00F635C4">
              <w:rPr>
                <w:color w:val="000000"/>
                <w:sz w:val="16"/>
                <w:szCs w:val="16"/>
              </w:rPr>
              <w:t>$ 323.172</w:t>
            </w:r>
          </w:p>
        </w:tc>
      </w:tr>
      <w:tr w:rsidR="0018473E" w:rsidRPr="00F635C4" w14:paraId="405978A5" w14:textId="77777777">
        <w:trPr>
          <w:trHeight w:val="308"/>
        </w:trPr>
        <w:tc>
          <w:tcPr>
            <w:tcW w:w="648" w:type="dxa"/>
            <w:vAlign w:val="center"/>
          </w:tcPr>
          <w:p w14:paraId="2126F06B" w14:textId="77777777" w:rsidR="0018473E" w:rsidRPr="00F635C4" w:rsidRDefault="00015EA5">
            <w:pPr>
              <w:jc w:val="center"/>
              <w:rPr>
                <w:sz w:val="16"/>
                <w:szCs w:val="16"/>
              </w:rPr>
            </w:pPr>
            <w:r w:rsidRPr="00F635C4">
              <w:rPr>
                <w:color w:val="000000"/>
                <w:sz w:val="16"/>
                <w:szCs w:val="16"/>
              </w:rPr>
              <w:t>17</w:t>
            </w:r>
          </w:p>
        </w:tc>
        <w:tc>
          <w:tcPr>
            <w:tcW w:w="1042" w:type="dxa"/>
            <w:vAlign w:val="center"/>
          </w:tcPr>
          <w:p w14:paraId="6DE20A04" w14:textId="77777777" w:rsidR="0018473E" w:rsidRPr="00F635C4" w:rsidRDefault="00015EA5">
            <w:pPr>
              <w:jc w:val="center"/>
              <w:rPr>
                <w:sz w:val="16"/>
                <w:szCs w:val="16"/>
              </w:rPr>
            </w:pPr>
            <w:r w:rsidRPr="00F635C4">
              <w:rPr>
                <w:color w:val="000000"/>
                <w:sz w:val="16"/>
                <w:szCs w:val="16"/>
              </w:rPr>
              <w:t> </w:t>
            </w:r>
          </w:p>
        </w:tc>
        <w:tc>
          <w:tcPr>
            <w:tcW w:w="1204" w:type="dxa"/>
            <w:vAlign w:val="center"/>
          </w:tcPr>
          <w:p w14:paraId="13A730CB" w14:textId="77777777" w:rsidR="0018473E" w:rsidRPr="00F635C4" w:rsidRDefault="00015EA5">
            <w:pPr>
              <w:jc w:val="center"/>
              <w:rPr>
                <w:sz w:val="16"/>
                <w:szCs w:val="16"/>
              </w:rPr>
            </w:pPr>
            <w:r w:rsidRPr="00F635C4">
              <w:rPr>
                <w:color w:val="000000"/>
                <w:sz w:val="16"/>
                <w:szCs w:val="16"/>
              </w:rPr>
              <w:t> </w:t>
            </w:r>
          </w:p>
        </w:tc>
        <w:tc>
          <w:tcPr>
            <w:tcW w:w="1003" w:type="dxa"/>
            <w:vAlign w:val="center"/>
          </w:tcPr>
          <w:p w14:paraId="1007A09C" w14:textId="77777777" w:rsidR="0018473E" w:rsidRPr="00F635C4" w:rsidRDefault="00015EA5">
            <w:pPr>
              <w:jc w:val="center"/>
              <w:rPr>
                <w:sz w:val="16"/>
                <w:szCs w:val="16"/>
              </w:rPr>
            </w:pPr>
            <w:r w:rsidRPr="00F635C4">
              <w:rPr>
                <w:color w:val="000000"/>
                <w:sz w:val="16"/>
                <w:szCs w:val="16"/>
              </w:rPr>
              <w:t>$ 24.427</w:t>
            </w:r>
          </w:p>
        </w:tc>
        <w:tc>
          <w:tcPr>
            <w:tcW w:w="1377" w:type="dxa"/>
            <w:vAlign w:val="center"/>
          </w:tcPr>
          <w:p w14:paraId="0FA93161" w14:textId="77777777" w:rsidR="0018473E" w:rsidRPr="00F635C4" w:rsidRDefault="00015EA5">
            <w:pPr>
              <w:jc w:val="center"/>
              <w:rPr>
                <w:sz w:val="16"/>
                <w:szCs w:val="16"/>
              </w:rPr>
            </w:pPr>
            <w:r w:rsidRPr="00F635C4">
              <w:rPr>
                <w:color w:val="000000"/>
                <w:sz w:val="16"/>
                <w:szCs w:val="16"/>
              </w:rPr>
              <w:t> </w:t>
            </w:r>
          </w:p>
        </w:tc>
        <w:tc>
          <w:tcPr>
            <w:tcW w:w="1112" w:type="dxa"/>
            <w:vAlign w:val="center"/>
          </w:tcPr>
          <w:p w14:paraId="68D80C42" w14:textId="77777777" w:rsidR="0018473E" w:rsidRPr="00F635C4" w:rsidRDefault="00015EA5">
            <w:pPr>
              <w:jc w:val="center"/>
              <w:rPr>
                <w:sz w:val="16"/>
                <w:szCs w:val="16"/>
              </w:rPr>
            </w:pPr>
            <w:r w:rsidRPr="00F635C4">
              <w:rPr>
                <w:color w:val="000000"/>
                <w:sz w:val="16"/>
                <w:szCs w:val="16"/>
              </w:rPr>
              <w:t> </w:t>
            </w:r>
          </w:p>
        </w:tc>
        <w:tc>
          <w:tcPr>
            <w:tcW w:w="1005" w:type="dxa"/>
            <w:vAlign w:val="center"/>
          </w:tcPr>
          <w:p w14:paraId="435B3EC1" w14:textId="77777777" w:rsidR="0018473E" w:rsidRPr="00F635C4" w:rsidRDefault="00015EA5">
            <w:pPr>
              <w:jc w:val="center"/>
              <w:rPr>
                <w:sz w:val="16"/>
                <w:szCs w:val="16"/>
              </w:rPr>
            </w:pPr>
            <w:r w:rsidRPr="00F635C4">
              <w:rPr>
                <w:color w:val="000000"/>
                <w:sz w:val="16"/>
                <w:szCs w:val="16"/>
              </w:rPr>
              <w:t> </w:t>
            </w:r>
          </w:p>
        </w:tc>
        <w:tc>
          <w:tcPr>
            <w:tcW w:w="1331" w:type="dxa"/>
            <w:vAlign w:val="center"/>
          </w:tcPr>
          <w:p w14:paraId="1E8358D8" w14:textId="77777777" w:rsidR="0018473E" w:rsidRPr="00F635C4" w:rsidRDefault="00015EA5">
            <w:pPr>
              <w:jc w:val="center"/>
              <w:rPr>
                <w:sz w:val="16"/>
                <w:szCs w:val="16"/>
              </w:rPr>
            </w:pPr>
            <w:r w:rsidRPr="00F635C4">
              <w:rPr>
                <w:color w:val="000000"/>
                <w:sz w:val="16"/>
                <w:szCs w:val="16"/>
              </w:rPr>
              <w:t>$ 341.257</w:t>
            </w:r>
          </w:p>
        </w:tc>
        <w:tc>
          <w:tcPr>
            <w:tcW w:w="1225" w:type="dxa"/>
            <w:vAlign w:val="center"/>
          </w:tcPr>
          <w:p w14:paraId="2FF40B12" w14:textId="77777777" w:rsidR="0018473E" w:rsidRPr="00F635C4" w:rsidRDefault="00015EA5">
            <w:pPr>
              <w:jc w:val="center"/>
              <w:rPr>
                <w:sz w:val="16"/>
                <w:szCs w:val="16"/>
              </w:rPr>
            </w:pPr>
            <w:r w:rsidRPr="00F635C4">
              <w:rPr>
                <w:color w:val="000000"/>
                <w:sz w:val="16"/>
                <w:szCs w:val="16"/>
              </w:rPr>
              <w:t>$ 341.257</w:t>
            </w:r>
          </w:p>
        </w:tc>
      </w:tr>
      <w:tr w:rsidR="0018473E" w:rsidRPr="00F635C4" w14:paraId="111D9D17" w14:textId="77777777">
        <w:trPr>
          <w:trHeight w:val="308"/>
        </w:trPr>
        <w:tc>
          <w:tcPr>
            <w:tcW w:w="648" w:type="dxa"/>
            <w:vAlign w:val="center"/>
          </w:tcPr>
          <w:p w14:paraId="43763A3E" w14:textId="77777777" w:rsidR="0018473E" w:rsidRPr="00F635C4" w:rsidRDefault="00015EA5">
            <w:pPr>
              <w:jc w:val="center"/>
              <w:rPr>
                <w:sz w:val="16"/>
                <w:szCs w:val="16"/>
              </w:rPr>
            </w:pPr>
            <w:r w:rsidRPr="00F635C4">
              <w:rPr>
                <w:color w:val="000000"/>
                <w:sz w:val="16"/>
                <w:szCs w:val="16"/>
              </w:rPr>
              <w:t>18</w:t>
            </w:r>
          </w:p>
        </w:tc>
        <w:tc>
          <w:tcPr>
            <w:tcW w:w="1042" w:type="dxa"/>
            <w:vAlign w:val="center"/>
          </w:tcPr>
          <w:p w14:paraId="29A5305F" w14:textId="77777777" w:rsidR="0018473E" w:rsidRPr="00F635C4" w:rsidRDefault="00015EA5">
            <w:pPr>
              <w:jc w:val="center"/>
              <w:rPr>
                <w:sz w:val="16"/>
                <w:szCs w:val="16"/>
              </w:rPr>
            </w:pPr>
            <w:r w:rsidRPr="00F635C4">
              <w:rPr>
                <w:color w:val="000000"/>
                <w:sz w:val="16"/>
                <w:szCs w:val="16"/>
              </w:rPr>
              <w:t> </w:t>
            </w:r>
          </w:p>
        </w:tc>
        <w:tc>
          <w:tcPr>
            <w:tcW w:w="1204" w:type="dxa"/>
            <w:vAlign w:val="center"/>
          </w:tcPr>
          <w:p w14:paraId="413D69CE" w14:textId="77777777" w:rsidR="0018473E" w:rsidRPr="00F635C4" w:rsidRDefault="00015EA5">
            <w:pPr>
              <w:jc w:val="center"/>
              <w:rPr>
                <w:sz w:val="16"/>
                <w:szCs w:val="16"/>
              </w:rPr>
            </w:pPr>
            <w:r w:rsidRPr="00F635C4">
              <w:rPr>
                <w:color w:val="000000"/>
                <w:sz w:val="16"/>
                <w:szCs w:val="16"/>
              </w:rPr>
              <w:t> </w:t>
            </w:r>
          </w:p>
        </w:tc>
        <w:tc>
          <w:tcPr>
            <w:tcW w:w="1003" w:type="dxa"/>
            <w:vAlign w:val="center"/>
          </w:tcPr>
          <w:p w14:paraId="6C10CDA3" w14:textId="77777777" w:rsidR="0018473E" w:rsidRPr="00F635C4" w:rsidRDefault="00015EA5">
            <w:pPr>
              <w:jc w:val="center"/>
              <w:rPr>
                <w:sz w:val="16"/>
                <w:szCs w:val="16"/>
              </w:rPr>
            </w:pPr>
            <w:r w:rsidRPr="00F635C4">
              <w:rPr>
                <w:color w:val="000000"/>
                <w:sz w:val="16"/>
                <w:szCs w:val="16"/>
              </w:rPr>
              <w:t>$ 20.732</w:t>
            </w:r>
          </w:p>
        </w:tc>
        <w:tc>
          <w:tcPr>
            <w:tcW w:w="1377" w:type="dxa"/>
            <w:vAlign w:val="center"/>
          </w:tcPr>
          <w:p w14:paraId="5BADE332" w14:textId="77777777" w:rsidR="0018473E" w:rsidRPr="00F635C4" w:rsidRDefault="00015EA5">
            <w:pPr>
              <w:jc w:val="center"/>
              <w:rPr>
                <w:sz w:val="16"/>
                <w:szCs w:val="16"/>
              </w:rPr>
            </w:pPr>
            <w:r w:rsidRPr="00F635C4">
              <w:rPr>
                <w:color w:val="000000"/>
                <w:sz w:val="16"/>
                <w:szCs w:val="16"/>
              </w:rPr>
              <w:t> </w:t>
            </w:r>
          </w:p>
        </w:tc>
        <w:tc>
          <w:tcPr>
            <w:tcW w:w="1112" w:type="dxa"/>
            <w:vAlign w:val="center"/>
          </w:tcPr>
          <w:p w14:paraId="38F1CE1B" w14:textId="77777777" w:rsidR="0018473E" w:rsidRPr="00F635C4" w:rsidRDefault="00015EA5">
            <w:pPr>
              <w:jc w:val="center"/>
              <w:rPr>
                <w:sz w:val="16"/>
                <w:szCs w:val="16"/>
              </w:rPr>
            </w:pPr>
            <w:r w:rsidRPr="00F635C4">
              <w:rPr>
                <w:color w:val="000000"/>
                <w:sz w:val="16"/>
                <w:szCs w:val="16"/>
              </w:rPr>
              <w:t> </w:t>
            </w:r>
          </w:p>
        </w:tc>
        <w:tc>
          <w:tcPr>
            <w:tcW w:w="1005" w:type="dxa"/>
            <w:vAlign w:val="center"/>
          </w:tcPr>
          <w:p w14:paraId="2F7CAC97" w14:textId="77777777" w:rsidR="0018473E" w:rsidRPr="00F635C4" w:rsidRDefault="00015EA5">
            <w:pPr>
              <w:jc w:val="center"/>
              <w:rPr>
                <w:sz w:val="16"/>
                <w:szCs w:val="16"/>
              </w:rPr>
            </w:pPr>
            <w:r w:rsidRPr="00F635C4">
              <w:rPr>
                <w:color w:val="000000"/>
                <w:sz w:val="16"/>
                <w:szCs w:val="16"/>
              </w:rPr>
              <w:t> </w:t>
            </w:r>
          </w:p>
        </w:tc>
        <w:tc>
          <w:tcPr>
            <w:tcW w:w="1331" w:type="dxa"/>
            <w:vAlign w:val="center"/>
          </w:tcPr>
          <w:p w14:paraId="5CF5DAF8" w14:textId="77777777" w:rsidR="0018473E" w:rsidRPr="00F635C4" w:rsidRDefault="00015EA5">
            <w:pPr>
              <w:jc w:val="center"/>
              <w:rPr>
                <w:sz w:val="16"/>
                <w:szCs w:val="16"/>
              </w:rPr>
            </w:pPr>
            <w:r w:rsidRPr="00F635C4">
              <w:rPr>
                <w:color w:val="000000"/>
                <w:sz w:val="16"/>
                <w:szCs w:val="16"/>
              </w:rPr>
              <w:t>$ 360.396</w:t>
            </w:r>
          </w:p>
        </w:tc>
        <w:tc>
          <w:tcPr>
            <w:tcW w:w="1225" w:type="dxa"/>
            <w:vAlign w:val="center"/>
          </w:tcPr>
          <w:p w14:paraId="5EDE4C2F" w14:textId="77777777" w:rsidR="0018473E" w:rsidRPr="00F635C4" w:rsidRDefault="00015EA5">
            <w:pPr>
              <w:jc w:val="center"/>
              <w:rPr>
                <w:sz w:val="16"/>
                <w:szCs w:val="16"/>
              </w:rPr>
            </w:pPr>
            <w:r w:rsidRPr="00F635C4">
              <w:rPr>
                <w:color w:val="000000"/>
                <w:sz w:val="16"/>
                <w:szCs w:val="16"/>
              </w:rPr>
              <w:t>$ 360.396</w:t>
            </w:r>
          </w:p>
        </w:tc>
      </w:tr>
      <w:tr w:rsidR="0018473E" w:rsidRPr="00F635C4" w14:paraId="4776031F" w14:textId="77777777">
        <w:trPr>
          <w:trHeight w:val="308"/>
        </w:trPr>
        <w:tc>
          <w:tcPr>
            <w:tcW w:w="648" w:type="dxa"/>
            <w:vAlign w:val="center"/>
          </w:tcPr>
          <w:p w14:paraId="3820320E" w14:textId="77777777" w:rsidR="0018473E" w:rsidRPr="00F635C4" w:rsidRDefault="00015EA5">
            <w:pPr>
              <w:jc w:val="center"/>
              <w:rPr>
                <w:sz w:val="16"/>
                <w:szCs w:val="16"/>
              </w:rPr>
            </w:pPr>
            <w:r w:rsidRPr="00F635C4">
              <w:rPr>
                <w:color w:val="000000"/>
                <w:sz w:val="16"/>
                <w:szCs w:val="16"/>
              </w:rPr>
              <w:t>19</w:t>
            </w:r>
          </w:p>
        </w:tc>
        <w:tc>
          <w:tcPr>
            <w:tcW w:w="1042" w:type="dxa"/>
            <w:vAlign w:val="center"/>
          </w:tcPr>
          <w:p w14:paraId="462D0D7D" w14:textId="77777777" w:rsidR="0018473E" w:rsidRPr="00F635C4" w:rsidRDefault="00015EA5">
            <w:pPr>
              <w:jc w:val="center"/>
              <w:rPr>
                <w:sz w:val="16"/>
                <w:szCs w:val="16"/>
              </w:rPr>
            </w:pPr>
            <w:r w:rsidRPr="00F635C4">
              <w:rPr>
                <w:color w:val="000000"/>
                <w:sz w:val="16"/>
                <w:szCs w:val="16"/>
              </w:rPr>
              <w:t> </w:t>
            </w:r>
          </w:p>
        </w:tc>
        <w:tc>
          <w:tcPr>
            <w:tcW w:w="1204" w:type="dxa"/>
            <w:vAlign w:val="center"/>
          </w:tcPr>
          <w:p w14:paraId="496B5C69" w14:textId="77777777" w:rsidR="0018473E" w:rsidRPr="00F635C4" w:rsidRDefault="00015EA5">
            <w:pPr>
              <w:jc w:val="center"/>
              <w:rPr>
                <w:sz w:val="16"/>
                <w:szCs w:val="16"/>
              </w:rPr>
            </w:pPr>
            <w:r w:rsidRPr="00F635C4">
              <w:rPr>
                <w:color w:val="000000"/>
                <w:sz w:val="16"/>
                <w:szCs w:val="16"/>
              </w:rPr>
              <w:t> </w:t>
            </w:r>
          </w:p>
        </w:tc>
        <w:tc>
          <w:tcPr>
            <w:tcW w:w="1003" w:type="dxa"/>
            <w:vAlign w:val="center"/>
          </w:tcPr>
          <w:p w14:paraId="36C5067B" w14:textId="77777777" w:rsidR="0018473E" w:rsidRPr="00F635C4" w:rsidRDefault="00015EA5">
            <w:pPr>
              <w:jc w:val="center"/>
              <w:rPr>
                <w:sz w:val="16"/>
                <w:szCs w:val="16"/>
              </w:rPr>
            </w:pPr>
            <w:r w:rsidRPr="00F635C4">
              <w:rPr>
                <w:color w:val="000000"/>
                <w:sz w:val="16"/>
                <w:szCs w:val="16"/>
              </w:rPr>
              <w:t>$ 16.541</w:t>
            </w:r>
          </w:p>
        </w:tc>
        <w:tc>
          <w:tcPr>
            <w:tcW w:w="1377" w:type="dxa"/>
            <w:vAlign w:val="center"/>
          </w:tcPr>
          <w:p w14:paraId="3F966A76" w14:textId="77777777" w:rsidR="0018473E" w:rsidRPr="00F635C4" w:rsidRDefault="00015EA5">
            <w:pPr>
              <w:jc w:val="center"/>
              <w:rPr>
                <w:sz w:val="16"/>
                <w:szCs w:val="16"/>
              </w:rPr>
            </w:pPr>
            <w:r w:rsidRPr="00F635C4">
              <w:rPr>
                <w:color w:val="000000"/>
                <w:sz w:val="16"/>
                <w:szCs w:val="16"/>
              </w:rPr>
              <w:t> </w:t>
            </w:r>
          </w:p>
        </w:tc>
        <w:tc>
          <w:tcPr>
            <w:tcW w:w="1112" w:type="dxa"/>
            <w:vAlign w:val="center"/>
          </w:tcPr>
          <w:p w14:paraId="087EF92D" w14:textId="77777777" w:rsidR="0018473E" w:rsidRPr="00F635C4" w:rsidRDefault="00015EA5">
            <w:pPr>
              <w:jc w:val="center"/>
              <w:rPr>
                <w:sz w:val="16"/>
                <w:szCs w:val="16"/>
              </w:rPr>
            </w:pPr>
            <w:r w:rsidRPr="00F635C4">
              <w:rPr>
                <w:color w:val="000000"/>
                <w:sz w:val="16"/>
                <w:szCs w:val="16"/>
              </w:rPr>
              <w:t> </w:t>
            </w:r>
          </w:p>
        </w:tc>
        <w:tc>
          <w:tcPr>
            <w:tcW w:w="1005" w:type="dxa"/>
            <w:vAlign w:val="center"/>
          </w:tcPr>
          <w:p w14:paraId="0A29F1B1" w14:textId="77777777" w:rsidR="0018473E" w:rsidRPr="00F635C4" w:rsidRDefault="00015EA5">
            <w:pPr>
              <w:jc w:val="center"/>
              <w:rPr>
                <w:sz w:val="16"/>
                <w:szCs w:val="16"/>
              </w:rPr>
            </w:pPr>
            <w:r w:rsidRPr="00F635C4">
              <w:rPr>
                <w:color w:val="000000"/>
                <w:sz w:val="16"/>
                <w:szCs w:val="16"/>
              </w:rPr>
              <w:t> </w:t>
            </w:r>
          </w:p>
        </w:tc>
        <w:tc>
          <w:tcPr>
            <w:tcW w:w="1331" w:type="dxa"/>
            <w:vAlign w:val="center"/>
          </w:tcPr>
          <w:p w14:paraId="0629CB93" w14:textId="77777777" w:rsidR="0018473E" w:rsidRPr="00F635C4" w:rsidRDefault="00015EA5">
            <w:pPr>
              <w:jc w:val="center"/>
              <w:rPr>
                <w:sz w:val="16"/>
                <w:szCs w:val="16"/>
              </w:rPr>
            </w:pPr>
            <w:r w:rsidRPr="00F635C4">
              <w:rPr>
                <w:color w:val="000000"/>
                <w:sz w:val="16"/>
                <w:szCs w:val="16"/>
              </w:rPr>
              <w:t>$ 380.650</w:t>
            </w:r>
          </w:p>
        </w:tc>
        <w:tc>
          <w:tcPr>
            <w:tcW w:w="1225" w:type="dxa"/>
            <w:vAlign w:val="center"/>
          </w:tcPr>
          <w:p w14:paraId="0C7389B1" w14:textId="77777777" w:rsidR="0018473E" w:rsidRPr="00F635C4" w:rsidRDefault="00015EA5">
            <w:pPr>
              <w:jc w:val="center"/>
              <w:rPr>
                <w:sz w:val="16"/>
                <w:szCs w:val="16"/>
              </w:rPr>
            </w:pPr>
            <w:r w:rsidRPr="00F635C4">
              <w:rPr>
                <w:color w:val="000000"/>
                <w:sz w:val="16"/>
                <w:szCs w:val="16"/>
              </w:rPr>
              <w:t>$ 380.650</w:t>
            </w:r>
          </w:p>
        </w:tc>
      </w:tr>
      <w:tr w:rsidR="0018473E" w:rsidRPr="00F635C4" w14:paraId="5E101CB8" w14:textId="77777777">
        <w:trPr>
          <w:trHeight w:val="308"/>
        </w:trPr>
        <w:tc>
          <w:tcPr>
            <w:tcW w:w="648" w:type="dxa"/>
            <w:vAlign w:val="center"/>
          </w:tcPr>
          <w:p w14:paraId="1562A278" w14:textId="77777777" w:rsidR="0018473E" w:rsidRPr="00F635C4" w:rsidRDefault="00015EA5">
            <w:pPr>
              <w:jc w:val="center"/>
              <w:rPr>
                <w:sz w:val="16"/>
                <w:szCs w:val="16"/>
              </w:rPr>
            </w:pPr>
            <w:r w:rsidRPr="00F635C4">
              <w:rPr>
                <w:color w:val="000000"/>
                <w:sz w:val="16"/>
                <w:szCs w:val="16"/>
              </w:rPr>
              <w:t>20</w:t>
            </w:r>
          </w:p>
        </w:tc>
        <w:tc>
          <w:tcPr>
            <w:tcW w:w="1042" w:type="dxa"/>
            <w:vAlign w:val="center"/>
          </w:tcPr>
          <w:p w14:paraId="03FF7FC8" w14:textId="77777777" w:rsidR="0018473E" w:rsidRPr="00F635C4" w:rsidRDefault="00015EA5">
            <w:pPr>
              <w:jc w:val="center"/>
              <w:rPr>
                <w:sz w:val="16"/>
                <w:szCs w:val="16"/>
              </w:rPr>
            </w:pPr>
            <w:r w:rsidRPr="00F635C4">
              <w:rPr>
                <w:color w:val="000000"/>
                <w:sz w:val="16"/>
                <w:szCs w:val="16"/>
              </w:rPr>
              <w:t> </w:t>
            </w:r>
          </w:p>
        </w:tc>
        <w:tc>
          <w:tcPr>
            <w:tcW w:w="1204" w:type="dxa"/>
            <w:vAlign w:val="center"/>
          </w:tcPr>
          <w:p w14:paraId="7BD5D93E" w14:textId="77777777" w:rsidR="0018473E" w:rsidRPr="00F635C4" w:rsidRDefault="00015EA5">
            <w:pPr>
              <w:jc w:val="center"/>
              <w:rPr>
                <w:sz w:val="16"/>
                <w:szCs w:val="16"/>
              </w:rPr>
            </w:pPr>
            <w:r w:rsidRPr="00F635C4">
              <w:rPr>
                <w:color w:val="000000"/>
                <w:sz w:val="16"/>
                <w:szCs w:val="16"/>
              </w:rPr>
              <w:t> </w:t>
            </w:r>
          </w:p>
        </w:tc>
        <w:tc>
          <w:tcPr>
            <w:tcW w:w="1003" w:type="dxa"/>
            <w:vAlign w:val="center"/>
          </w:tcPr>
          <w:p w14:paraId="55FC2B90" w14:textId="77777777" w:rsidR="0018473E" w:rsidRPr="00F635C4" w:rsidRDefault="00015EA5">
            <w:pPr>
              <w:jc w:val="center"/>
              <w:rPr>
                <w:sz w:val="16"/>
                <w:szCs w:val="16"/>
              </w:rPr>
            </w:pPr>
            <w:r w:rsidRPr="00F635C4">
              <w:rPr>
                <w:color w:val="000000"/>
                <w:sz w:val="16"/>
                <w:szCs w:val="16"/>
              </w:rPr>
              <w:t>$ 11.745</w:t>
            </w:r>
          </w:p>
        </w:tc>
        <w:tc>
          <w:tcPr>
            <w:tcW w:w="1377" w:type="dxa"/>
            <w:vAlign w:val="center"/>
          </w:tcPr>
          <w:p w14:paraId="46201FE2" w14:textId="77777777" w:rsidR="0018473E" w:rsidRPr="00F635C4" w:rsidRDefault="00015EA5">
            <w:pPr>
              <w:jc w:val="center"/>
              <w:rPr>
                <w:sz w:val="16"/>
                <w:szCs w:val="16"/>
              </w:rPr>
            </w:pPr>
            <w:r w:rsidRPr="00F635C4">
              <w:rPr>
                <w:color w:val="000000"/>
                <w:sz w:val="16"/>
                <w:szCs w:val="16"/>
              </w:rPr>
              <w:t> </w:t>
            </w:r>
          </w:p>
        </w:tc>
        <w:tc>
          <w:tcPr>
            <w:tcW w:w="1112" w:type="dxa"/>
            <w:vAlign w:val="center"/>
          </w:tcPr>
          <w:p w14:paraId="59740282" w14:textId="77777777" w:rsidR="0018473E" w:rsidRPr="00F635C4" w:rsidRDefault="00015EA5">
            <w:pPr>
              <w:jc w:val="center"/>
              <w:rPr>
                <w:sz w:val="16"/>
                <w:szCs w:val="16"/>
              </w:rPr>
            </w:pPr>
            <w:r w:rsidRPr="00F635C4">
              <w:rPr>
                <w:color w:val="000000"/>
                <w:sz w:val="16"/>
                <w:szCs w:val="16"/>
              </w:rPr>
              <w:t> </w:t>
            </w:r>
          </w:p>
        </w:tc>
        <w:tc>
          <w:tcPr>
            <w:tcW w:w="1005" w:type="dxa"/>
            <w:vAlign w:val="center"/>
          </w:tcPr>
          <w:p w14:paraId="52911429" w14:textId="77777777" w:rsidR="0018473E" w:rsidRPr="00F635C4" w:rsidRDefault="00015EA5">
            <w:pPr>
              <w:jc w:val="center"/>
              <w:rPr>
                <w:sz w:val="16"/>
                <w:szCs w:val="16"/>
              </w:rPr>
            </w:pPr>
            <w:r w:rsidRPr="00F635C4">
              <w:rPr>
                <w:color w:val="000000"/>
                <w:sz w:val="16"/>
                <w:szCs w:val="16"/>
              </w:rPr>
              <w:t> </w:t>
            </w:r>
          </w:p>
        </w:tc>
        <w:tc>
          <w:tcPr>
            <w:tcW w:w="1331" w:type="dxa"/>
            <w:vAlign w:val="center"/>
          </w:tcPr>
          <w:p w14:paraId="22BF480E" w14:textId="77777777" w:rsidR="0018473E" w:rsidRPr="00F635C4" w:rsidRDefault="00015EA5">
            <w:pPr>
              <w:jc w:val="center"/>
              <w:rPr>
                <w:sz w:val="16"/>
                <w:szCs w:val="16"/>
              </w:rPr>
            </w:pPr>
            <w:r w:rsidRPr="00F635C4">
              <w:rPr>
                <w:color w:val="000000"/>
                <w:sz w:val="16"/>
                <w:szCs w:val="16"/>
              </w:rPr>
              <w:t>$ 402.128</w:t>
            </w:r>
          </w:p>
        </w:tc>
        <w:tc>
          <w:tcPr>
            <w:tcW w:w="1225" w:type="dxa"/>
            <w:vAlign w:val="center"/>
          </w:tcPr>
          <w:p w14:paraId="1F3C0ECA" w14:textId="77777777" w:rsidR="0018473E" w:rsidRPr="00F635C4" w:rsidRDefault="00015EA5">
            <w:pPr>
              <w:jc w:val="center"/>
              <w:rPr>
                <w:sz w:val="16"/>
                <w:szCs w:val="16"/>
              </w:rPr>
            </w:pPr>
            <w:r w:rsidRPr="00F635C4">
              <w:rPr>
                <w:color w:val="000000"/>
                <w:sz w:val="16"/>
                <w:szCs w:val="16"/>
              </w:rPr>
              <w:t>$ 402.128</w:t>
            </w:r>
          </w:p>
        </w:tc>
      </w:tr>
      <w:tr w:rsidR="0018473E" w:rsidRPr="00F635C4" w14:paraId="1A0F8936" w14:textId="77777777">
        <w:trPr>
          <w:trHeight w:val="308"/>
        </w:trPr>
        <w:tc>
          <w:tcPr>
            <w:tcW w:w="648" w:type="dxa"/>
            <w:vAlign w:val="center"/>
          </w:tcPr>
          <w:p w14:paraId="2B2AA7AC" w14:textId="77777777" w:rsidR="0018473E" w:rsidRPr="00F635C4" w:rsidRDefault="00015EA5">
            <w:pPr>
              <w:jc w:val="center"/>
              <w:rPr>
                <w:sz w:val="16"/>
                <w:szCs w:val="16"/>
              </w:rPr>
            </w:pPr>
            <w:r w:rsidRPr="00F635C4">
              <w:rPr>
                <w:color w:val="000000"/>
                <w:sz w:val="16"/>
                <w:szCs w:val="16"/>
              </w:rPr>
              <w:t>21</w:t>
            </w:r>
          </w:p>
        </w:tc>
        <w:tc>
          <w:tcPr>
            <w:tcW w:w="1042" w:type="dxa"/>
            <w:vAlign w:val="center"/>
          </w:tcPr>
          <w:p w14:paraId="1E6F2962" w14:textId="77777777" w:rsidR="0018473E" w:rsidRPr="00F635C4" w:rsidRDefault="00015EA5">
            <w:pPr>
              <w:jc w:val="center"/>
              <w:rPr>
                <w:sz w:val="16"/>
                <w:szCs w:val="16"/>
              </w:rPr>
            </w:pPr>
            <w:r w:rsidRPr="00F635C4">
              <w:rPr>
                <w:color w:val="000000"/>
                <w:sz w:val="16"/>
                <w:szCs w:val="16"/>
              </w:rPr>
              <w:t> </w:t>
            </w:r>
          </w:p>
        </w:tc>
        <w:tc>
          <w:tcPr>
            <w:tcW w:w="1204" w:type="dxa"/>
            <w:vAlign w:val="center"/>
          </w:tcPr>
          <w:p w14:paraId="29935B69" w14:textId="77777777" w:rsidR="0018473E" w:rsidRPr="00F635C4" w:rsidRDefault="00015EA5">
            <w:pPr>
              <w:jc w:val="center"/>
              <w:rPr>
                <w:sz w:val="16"/>
                <w:szCs w:val="16"/>
              </w:rPr>
            </w:pPr>
            <w:r w:rsidRPr="00F635C4">
              <w:rPr>
                <w:color w:val="000000"/>
                <w:sz w:val="16"/>
                <w:szCs w:val="16"/>
              </w:rPr>
              <w:t> </w:t>
            </w:r>
          </w:p>
        </w:tc>
        <w:tc>
          <w:tcPr>
            <w:tcW w:w="1003" w:type="dxa"/>
            <w:vAlign w:val="center"/>
          </w:tcPr>
          <w:p w14:paraId="15269793" w14:textId="77777777" w:rsidR="0018473E" w:rsidRPr="00F635C4" w:rsidRDefault="00015EA5">
            <w:pPr>
              <w:jc w:val="center"/>
              <w:rPr>
                <w:sz w:val="16"/>
                <w:szCs w:val="16"/>
              </w:rPr>
            </w:pPr>
            <w:r w:rsidRPr="00F635C4">
              <w:rPr>
                <w:color w:val="000000"/>
                <w:sz w:val="16"/>
                <w:szCs w:val="16"/>
              </w:rPr>
              <w:t>$ 6.233</w:t>
            </w:r>
          </w:p>
        </w:tc>
        <w:tc>
          <w:tcPr>
            <w:tcW w:w="1377" w:type="dxa"/>
            <w:vAlign w:val="center"/>
          </w:tcPr>
          <w:p w14:paraId="0491A05F" w14:textId="77777777" w:rsidR="0018473E" w:rsidRPr="00F635C4" w:rsidRDefault="00015EA5">
            <w:pPr>
              <w:jc w:val="center"/>
              <w:rPr>
                <w:sz w:val="16"/>
                <w:szCs w:val="16"/>
              </w:rPr>
            </w:pPr>
            <w:r w:rsidRPr="00F635C4">
              <w:rPr>
                <w:color w:val="000000"/>
                <w:sz w:val="16"/>
                <w:szCs w:val="16"/>
              </w:rPr>
              <w:t> </w:t>
            </w:r>
          </w:p>
        </w:tc>
        <w:tc>
          <w:tcPr>
            <w:tcW w:w="1112" w:type="dxa"/>
            <w:vAlign w:val="center"/>
          </w:tcPr>
          <w:p w14:paraId="61C2184E" w14:textId="77777777" w:rsidR="0018473E" w:rsidRPr="00F635C4" w:rsidRDefault="00015EA5">
            <w:pPr>
              <w:jc w:val="center"/>
              <w:rPr>
                <w:sz w:val="16"/>
                <w:szCs w:val="16"/>
              </w:rPr>
            </w:pPr>
            <w:r w:rsidRPr="00F635C4">
              <w:rPr>
                <w:color w:val="000000"/>
                <w:sz w:val="16"/>
                <w:szCs w:val="16"/>
              </w:rPr>
              <w:t> </w:t>
            </w:r>
          </w:p>
        </w:tc>
        <w:tc>
          <w:tcPr>
            <w:tcW w:w="1005" w:type="dxa"/>
            <w:vAlign w:val="center"/>
          </w:tcPr>
          <w:p w14:paraId="6E2B4039" w14:textId="77777777" w:rsidR="0018473E" w:rsidRPr="00F635C4" w:rsidRDefault="00015EA5">
            <w:pPr>
              <w:jc w:val="center"/>
              <w:rPr>
                <w:sz w:val="16"/>
                <w:szCs w:val="16"/>
              </w:rPr>
            </w:pPr>
            <w:r w:rsidRPr="00F635C4">
              <w:rPr>
                <w:color w:val="000000"/>
                <w:sz w:val="16"/>
                <w:szCs w:val="16"/>
              </w:rPr>
              <w:t> </w:t>
            </w:r>
          </w:p>
        </w:tc>
        <w:tc>
          <w:tcPr>
            <w:tcW w:w="1331" w:type="dxa"/>
            <w:vAlign w:val="center"/>
          </w:tcPr>
          <w:p w14:paraId="0C4BCD63" w14:textId="77777777" w:rsidR="0018473E" w:rsidRPr="00F635C4" w:rsidRDefault="00015EA5">
            <w:pPr>
              <w:jc w:val="center"/>
              <w:rPr>
                <w:sz w:val="16"/>
                <w:szCs w:val="16"/>
              </w:rPr>
            </w:pPr>
            <w:r w:rsidRPr="00F635C4">
              <w:rPr>
                <w:color w:val="000000"/>
                <w:sz w:val="16"/>
                <w:szCs w:val="16"/>
              </w:rPr>
              <w:t>$ 424.950</w:t>
            </w:r>
          </w:p>
        </w:tc>
        <w:tc>
          <w:tcPr>
            <w:tcW w:w="1225" w:type="dxa"/>
            <w:vAlign w:val="center"/>
          </w:tcPr>
          <w:p w14:paraId="5312FA0C" w14:textId="77777777" w:rsidR="0018473E" w:rsidRPr="00F635C4" w:rsidRDefault="00015EA5">
            <w:pPr>
              <w:jc w:val="center"/>
              <w:rPr>
                <w:sz w:val="16"/>
                <w:szCs w:val="16"/>
              </w:rPr>
            </w:pPr>
            <w:r w:rsidRPr="00F635C4">
              <w:rPr>
                <w:color w:val="000000"/>
                <w:sz w:val="16"/>
                <w:szCs w:val="16"/>
              </w:rPr>
              <w:t>$ 424.950</w:t>
            </w:r>
          </w:p>
        </w:tc>
      </w:tr>
      <w:tr w:rsidR="0018473E" w:rsidRPr="00F635C4" w14:paraId="55566572" w14:textId="77777777">
        <w:trPr>
          <w:trHeight w:val="285"/>
        </w:trPr>
        <w:tc>
          <w:tcPr>
            <w:tcW w:w="648" w:type="dxa"/>
            <w:vAlign w:val="center"/>
          </w:tcPr>
          <w:p w14:paraId="610F90D7" w14:textId="77777777" w:rsidR="0018473E" w:rsidRPr="00F635C4" w:rsidRDefault="00015EA5">
            <w:pPr>
              <w:jc w:val="center"/>
              <w:rPr>
                <w:b/>
                <w:sz w:val="16"/>
                <w:szCs w:val="16"/>
              </w:rPr>
            </w:pPr>
            <w:r w:rsidRPr="00F635C4">
              <w:rPr>
                <w:b/>
                <w:color w:val="000000"/>
                <w:sz w:val="16"/>
                <w:szCs w:val="16"/>
              </w:rPr>
              <w:t xml:space="preserve">Total </w:t>
            </w:r>
          </w:p>
        </w:tc>
        <w:tc>
          <w:tcPr>
            <w:tcW w:w="1042" w:type="dxa"/>
            <w:vAlign w:val="center"/>
          </w:tcPr>
          <w:p w14:paraId="2D347919" w14:textId="77777777" w:rsidR="0018473E" w:rsidRPr="00F635C4" w:rsidRDefault="00015EA5">
            <w:pPr>
              <w:jc w:val="center"/>
              <w:rPr>
                <w:b/>
                <w:sz w:val="16"/>
                <w:szCs w:val="16"/>
              </w:rPr>
            </w:pPr>
            <w:r w:rsidRPr="00F635C4">
              <w:rPr>
                <w:b/>
                <w:color w:val="000000"/>
                <w:sz w:val="16"/>
                <w:szCs w:val="16"/>
              </w:rPr>
              <w:t>138.048</w:t>
            </w:r>
          </w:p>
        </w:tc>
        <w:tc>
          <w:tcPr>
            <w:tcW w:w="1204" w:type="dxa"/>
            <w:vAlign w:val="center"/>
          </w:tcPr>
          <w:p w14:paraId="51168AA0" w14:textId="77777777" w:rsidR="0018473E" w:rsidRPr="00F635C4" w:rsidRDefault="00015EA5">
            <w:pPr>
              <w:jc w:val="center"/>
              <w:rPr>
                <w:b/>
                <w:sz w:val="16"/>
                <w:szCs w:val="16"/>
              </w:rPr>
            </w:pPr>
            <w:r w:rsidRPr="00F635C4">
              <w:rPr>
                <w:b/>
                <w:color w:val="000000"/>
                <w:sz w:val="16"/>
                <w:szCs w:val="16"/>
              </w:rPr>
              <w:t>94.421</w:t>
            </w:r>
          </w:p>
        </w:tc>
        <w:tc>
          <w:tcPr>
            <w:tcW w:w="1003" w:type="dxa"/>
            <w:vAlign w:val="center"/>
          </w:tcPr>
          <w:p w14:paraId="68D0EE18" w14:textId="77777777" w:rsidR="0018473E" w:rsidRPr="00F635C4" w:rsidRDefault="00015EA5">
            <w:pPr>
              <w:jc w:val="center"/>
              <w:rPr>
                <w:b/>
                <w:sz w:val="16"/>
                <w:szCs w:val="16"/>
              </w:rPr>
            </w:pPr>
            <w:r w:rsidRPr="00F635C4">
              <w:rPr>
                <w:b/>
                <w:color w:val="FF0000"/>
                <w:sz w:val="16"/>
                <w:szCs w:val="16"/>
              </w:rPr>
              <w:t>$ 371.464</w:t>
            </w:r>
          </w:p>
        </w:tc>
        <w:tc>
          <w:tcPr>
            <w:tcW w:w="1377" w:type="dxa"/>
            <w:vAlign w:val="center"/>
          </w:tcPr>
          <w:p w14:paraId="324B03FC" w14:textId="77777777" w:rsidR="0018473E" w:rsidRPr="00F635C4" w:rsidRDefault="00015EA5">
            <w:pPr>
              <w:jc w:val="center"/>
              <w:rPr>
                <w:b/>
                <w:color w:val="00B050"/>
                <w:sz w:val="16"/>
                <w:szCs w:val="16"/>
              </w:rPr>
            </w:pPr>
            <w:r w:rsidRPr="00F635C4">
              <w:rPr>
                <w:b/>
                <w:color w:val="00B050"/>
                <w:sz w:val="16"/>
                <w:szCs w:val="16"/>
              </w:rPr>
              <w:t>$ 347.450</w:t>
            </w:r>
          </w:p>
        </w:tc>
        <w:tc>
          <w:tcPr>
            <w:tcW w:w="1112" w:type="dxa"/>
            <w:vAlign w:val="center"/>
          </w:tcPr>
          <w:p w14:paraId="02E4984B" w14:textId="77777777" w:rsidR="0018473E" w:rsidRPr="00F635C4" w:rsidRDefault="00015EA5">
            <w:pPr>
              <w:jc w:val="center"/>
              <w:rPr>
                <w:b/>
                <w:color w:val="00B050"/>
                <w:sz w:val="16"/>
                <w:szCs w:val="16"/>
              </w:rPr>
            </w:pPr>
            <w:r w:rsidRPr="00F635C4">
              <w:rPr>
                <w:b/>
                <w:color w:val="00B050"/>
                <w:sz w:val="16"/>
                <w:szCs w:val="16"/>
              </w:rPr>
              <w:t>$ 182.478</w:t>
            </w:r>
          </w:p>
        </w:tc>
        <w:tc>
          <w:tcPr>
            <w:tcW w:w="1005" w:type="dxa"/>
            <w:vAlign w:val="center"/>
          </w:tcPr>
          <w:p w14:paraId="16B31C23" w14:textId="77777777" w:rsidR="0018473E" w:rsidRPr="00F635C4" w:rsidRDefault="00015EA5">
            <w:pPr>
              <w:jc w:val="center"/>
              <w:rPr>
                <w:b/>
                <w:color w:val="00B050"/>
                <w:sz w:val="16"/>
                <w:szCs w:val="16"/>
              </w:rPr>
            </w:pPr>
            <w:r w:rsidRPr="00F635C4">
              <w:rPr>
                <w:b/>
                <w:color w:val="00B050"/>
                <w:sz w:val="16"/>
                <w:szCs w:val="16"/>
              </w:rPr>
              <w:t>$ 470.303</w:t>
            </w:r>
          </w:p>
        </w:tc>
        <w:tc>
          <w:tcPr>
            <w:tcW w:w="1331" w:type="dxa"/>
            <w:vAlign w:val="center"/>
          </w:tcPr>
          <w:p w14:paraId="704B289B" w14:textId="77777777" w:rsidR="0018473E" w:rsidRPr="00F635C4" w:rsidRDefault="00015EA5">
            <w:pPr>
              <w:jc w:val="center"/>
              <w:rPr>
                <w:b/>
                <w:color w:val="00B050"/>
                <w:sz w:val="16"/>
                <w:szCs w:val="16"/>
              </w:rPr>
            </w:pPr>
            <w:r w:rsidRPr="00F635C4">
              <w:rPr>
                <w:b/>
                <w:color w:val="00B050"/>
                <w:sz w:val="16"/>
                <w:szCs w:val="16"/>
              </w:rPr>
              <w:t>$ 4.307.557</w:t>
            </w:r>
          </w:p>
        </w:tc>
        <w:tc>
          <w:tcPr>
            <w:tcW w:w="1225" w:type="dxa"/>
            <w:vAlign w:val="center"/>
          </w:tcPr>
          <w:p w14:paraId="0E61B481" w14:textId="77777777" w:rsidR="0018473E" w:rsidRPr="00F635C4" w:rsidRDefault="00015EA5">
            <w:pPr>
              <w:jc w:val="center"/>
              <w:rPr>
                <w:b/>
                <w:color w:val="00B050"/>
                <w:sz w:val="16"/>
                <w:szCs w:val="16"/>
              </w:rPr>
            </w:pPr>
            <w:r w:rsidRPr="00F635C4">
              <w:rPr>
                <w:b/>
                <w:color w:val="00B050"/>
                <w:sz w:val="16"/>
                <w:szCs w:val="16"/>
              </w:rPr>
              <w:t>$ 5.307.788</w:t>
            </w:r>
          </w:p>
        </w:tc>
      </w:tr>
    </w:tbl>
    <w:p w14:paraId="6E7EA32C" w14:textId="77777777" w:rsidR="0018473E" w:rsidRPr="00F635C4" w:rsidRDefault="00015EA5">
      <w:pPr>
        <w:jc w:val="center"/>
        <w:rPr>
          <w:rFonts w:ascii="Arial" w:eastAsia="Arial" w:hAnsi="Arial" w:cs="Arial"/>
          <w:sz w:val="18"/>
          <w:szCs w:val="18"/>
        </w:rPr>
      </w:pPr>
      <w:r w:rsidRPr="00F635C4">
        <w:rPr>
          <w:rFonts w:ascii="Arial" w:eastAsia="Arial" w:hAnsi="Arial" w:cs="Arial"/>
          <w:sz w:val="18"/>
          <w:szCs w:val="18"/>
        </w:rPr>
        <w:t>Fuente: Elaboración propia</w:t>
      </w:r>
    </w:p>
    <w:p w14:paraId="0B46CA3F" w14:textId="77777777" w:rsidR="0018473E" w:rsidRPr="00F635C4" w:rsidRDefault="0018473E">
      <w:pPr>
        <w:jc w:val="center"/>
        <w:rPr>
          <w:rFonts w:ascii="Arial" w:eastAsia="Arial" w:hAnsi="Arial" w:cs="Arial"/>
          <w:sz w:val="22"/>
          <w:szCs w:val="22"/>
        </w:rPr>
      </w:pPr>
    </w:p>
    <w:p w14:paraId="35C97EB9" w14:textId="77777777" w:rsidR="0018473E" w:rsidRPr="00F635C4" w:rsidRDefault="0018473E">
      <w:pPr>
        <w:rPr>
          <w:rFonts w:ascii="Arial" w:eastAsia="Arial" w:hAnsi="Arial" w:cs="Arial"/>
          <w:b/>
          <w:sz w:val="22"/>
          <w:szCs w:val="22"/>
        </w:rPr>
      </w:pPr>
    </w:p>
    <w:p w14:paraId="7996840B" w14:textId="526AD69F" w:rsidR="0018473E" w:rsidRPr="00F635C4" w:rsidRDefault="00015EA5">
      <w:pPr>
        <w:rPr>
          <w:rFonts w:ascii="Arial" w:eastAsia="Arial" w:hAnsi="Arial" w:cs="Arial"/>
          <w:b/>
          <w:sz w:val="22"/>
          <w:szCs w:val="22"/>
        </w:rPr>
      </w:pPr>
      <w:r w:rsidRPr="00F635C4">
        <w:rPr>
          <w:rFonts w:ascii="Arial" w:eastAsia="Arial" w:hAnsi="Arial" w:cs="Arial"/>
          <w:b/>
          <w:sz w:val="22"/>
          <w:szCs w:val="22"/>
        </w:rPr>
        <w:t>2.1.4. BENEFICIOS ADICIONALES</w:t>
      </w:r>
    </w:p>
    <w:p w14:paraId="1E548EBD" w14:textId="77777777" w:rsidR="0018473E" w:rsidRPr="00F635C4" w:rsidRDefault="0018473E">
      <w:pPr>
        <w:rPr>
          <w:rFonts w:ascii="Arial" w:eastAsia="Arial" w:hAnsi="Arial" w:cs="Arial"/>
          <w:b/>
          <w:sz w:val="22"/>
          <w:szCs w:val="22"/>
        </w:rPr>
      </w:pPr>
    </w:p>
    <w:p w14:paraId="78C317FC" w14:textId="3A2C6F21" w:rsidR="000079DA" w:rsidRPr="00F635C4" w:rsidRDefault="00A66DC7" w:rsidP="00F56812">
      <w:pPr>
        <w:spacing w:after="240"/>
        <w:jc w:val="both"/>
        <w:rPr>
          <w:rFonts w:ascii="Arial" w:eastAsia="Arial" w:hAnsi="Arial" w:cs="Arial"/>
          <w:sz w:val="22"/>
          <w:szCs w:val="22"/>
        </w:rPr>
      </w:pPr>
      <w:r w:rsidRPr="00F635C4">
        <w:rPr>
          <w:rFonts w:ascii="Arial" w:eastAsia="Arial" w:hAnsi="Arial" w:cs="Arial"/>
          <w:sz w:val="22"/>
          <w:szCs w:val="22"/>
        </w:rPr>
        <w:t xml:space="preserve">Para la autora, </w:t>
      </w:r>
      <w:r w:rsidR="000079DA" w:rsidRPr="00F635C4">
        <w:rPr>
          <w:rFonts w:ascii="Arial" w:eastAsia="Arial" w:hAnsi="Arial" w:cs="Arial"/>
          <w:sz w:val="22"/>
          <w:szCs w:val="22"/>
        </w:rPr>
        <w:t>estas medidas de renovación urbana permiten un fuerte impacto económico y urbano: el volumen de vivienda proyectado generaría más de 250 mil empleos directos y cerca de 300 mil indirectos, apalancando inversiones por más de 60 billones de pesos y una alta demanda de insumos. Al concentrarse en 6.612,7 hectáreas ya urbanizadas, se optimiza el uso del suelo, se evita la expansión descontrolada, se ahorran costos al Distrito frente a la provisión de infraestructura en la periferia, se recuperan áreas deterioradas y se impulsa la construcción de vivienda formal (VIS y No VIS) con criterios de sostenibilidad, lo que contribuye a estabilizar los precios de la vivienda y reducir el costo de vida.</w:t>
      </w:r>
    </w:p>
    <w:p w14:paraId="4290B19F" w14:textId="3E40AE48" w:rsidR="0018473E" w:rsidRPr="00F635C4" w:rsidRDefault="000079DA" w:rsidP="00F56812">
      <w:pPr>
        <w:spacing w:after="240"/>
        <w:jc w:val="both"/>
        <w:rPr>
          <w:rFonts w:ascii="Arial" w:eastAsia="Arial" w:hAnsi="Arial" w:cs="Arial"/>
          <w:b/>
          <w:sz w:val="22"/>
          <w:szCs w:val="22"/>
        </w:rPr>
      </w:pPr>
      <w:r w:rsidRPr="00F635C4">
        <w:rPr>
          <w:rFonts w:ascii="Arial" w:eastAsia="Arial" w:hAnsi="Arial" w:cs="Arial"/>
          <w:sz w:val="22"/>
          <w:szCs w:val="22"/>
        </w:rPr>
        <w:t>Además, la generación de vivienda en zonas de renovación favorece la creación de parques y zonas verdes, reduce distancias y ayuda a disminuir la contaminación del aire. Al mismo tiempo, el descuento en el impuesto predial se convierte en un incentivo para que los residentes permanezcan en el territorio después de ejecutado el proyecto, lo que contribuye a mitigar la gentrificación y se articula con el Decreto 563 de 2023, que establece instrumentos de protección a moradores y actividades productivas mediante planes de gestión social, participación de los propietarios y derechos preferenciales de retorno.</w:t>
      </w:r>
    </w:p>
    <w:p w14:paraId="43FAE65F" w14:textId="77777777" w:rsidR="0018473E" w:rsidRPr="00F635C4" w:rsidRDefault="00015EA5">
      <w:pPr>
        <w:rPr>
          <w:rFonts w:ascii="Arial" w:eastAsia="Arial" w:hAnsi="Arial" w:cs="Arial"/>
          <w:b/>
          <w:sz w:val="22"/>
          <w:szCs w:val="22"/>
        </w:rPr>
      </w:pPr>
      <w:r w:rsidRPr="00F635C4">
        <w:rPr>
          <w:rFonts w:ascii="Arial" w:eastAsia="Arial" w:hAnsi="Arial" w:cs="Arial"/>
          <w:b/>
          <w:sz w:val="22"/>
          <w:szCs w:val="22"/>
        </w:rPr>
        <w:t>2.2. INVERSIÓN INMOBILIARIA Y OPORTUNIDADES FISCALES PARA BOGOTÁ: DESARROLLO DEL MERCADO DE PROYECTOS MULTIFAMILIARES EN RENTA ESPECIALIZADA.</w:t>
      </w:r>
    </w:p>
    <w:p w14:paraId="0B649A8A" w14:textId="77777777" w:rsidR="0018473E" w:rsidRPr="00F635C4" w:rsidRDefault="0018473E">
      <w:pPr>
        <w:tabs>
          <w:tab w:val="left" w:pos="2835"/>
        </w:tabs>
        <w:rPr>
          <w:rFonts w:ascii="Arial" w:eastAsia="Arial" w:hAnsi="Arial" w:cs="Arial"/>
          <w:b/>
          <w:sz w:val="22"/>
          <w:szCs w:val="22"/>
        </w:rPr>
      </w:pPr>
    </w:p>
    <w:p w14:paraId="2D89534F" w14:textId="0E6E1D4A" w:rsidR="0018473E" w:rsidRPr="00F635C4" w:rsidRDefault="00015EA5">
      <w:pPr>
        <w:rPr>
          <w:rFonts w:ascii="Arial" w:eastAsia="Arial" w:hAnsi="Arial" w:cs="Arial"/>
          <w:b/>
          <w:sz w:val="22"/>
          <w:szCs w:val="22"/>
        </w:rPr>
      </w:pPr>
      <w:r w:rsidRPr="00F635C4">
        <w:rPr>
          <w:rFonts w:ascii="Arial" w:eastAsia="Arial" w:hAnsi="Arial" w:cs="Arial"/>
          <w:b/>
          <w:sz w:val="22"/>
          <w:szCs w:val="22"/>
        </w:rPr>
        <w:t>2.2.1. DIAGNÓSTICO</w:t>
      </w:r>
      <w:r w:rsidR="00A66DC7" w:rsidRPr="00F635C4">
        <w:rPr>
          <w:rFonts w:ascii="Arial" w:eastAsia="Arial" w:hAnsi="Arial" w:cs="Arial"/>
          <w:b/>
          <w:sz w:val="22"/>
          <w:szCs w:val="22"/>
        </w:rPr>
        <w:t xml:space="preserve"> DE LA AUTORA</w:t>
      </w:r>
    </w:p>
    <w:p w14:paraId="084DD9DD" w14:textId="77777777" w:rsidR="0018473E" w:rsidRPr="00F635C4" w:rsidRDefault="0018473E">
      <w:pPr>
        <w:rPr>
          <w:rFonts w:ascii="Arial" w:eastAsia="Arial" w:hAnsi="Arial" w:cs="Arial"/>
          <w:b/>
          <w:sz w:val="22"/>
          <w:szCs w:val="22"/>
        </w:rPr>
      </w:pPr>
    </w:p>
    <w:p w14:paraId="2DABB6CC" w14:textId="77777777" w:rsidR="0018473E" w:rsidRPr="00F635C4" w:rsidRDefault="00015EA5">
      <w:pPr>
        <w:jc w:val="both"/>
        <w:rPr>
          <w:rFonts w:ascii="Arial" w:eastAsia="Arial" w:hAnsi="Arial" w:cs="Arial"/>
          <w:sz w:val="22"/>
          <w:szCs w:val="22"/>
        </w:rPr>
      </w:pPr>
      <w:r w:rsidRPr="00F635C4">
        <w:rPr>
          <w:rFonts w:ascii="Arial" w:eastAsia="Arial" w:hAnsi="Arial" w:cs="Arial"/>
          <w:sz w:val="22"/>
          <w:szCs w:val="22"/>
        </w:rPr>
        <w:t>Colombia es el país latinoamericano con mayor porcentaje de hogares viviendo en arriendo. En Bogotá la modalidad de arrendamiento es predominante en la tenencia de la vivienda; en 2023 se registraron 1,4 millones de hogares bajo esta modalidad (51,6% del total). En 11 de las 19 localidades la tasa de arrendamiento es superior al 50%.</w:t>
      </w:r>
    </w:p>
    <w:p w14:paraId="2F907CD6" w14:textId="77777777" w:rsidR="0018473E" w:rsidRPr="00F635C4" w:rsidRDefault="0018473E">
      <w:pPr>
        <w:jc w:val="both"/>
        <w:rPr>
          <w:rFonts w:ascii="Arial" w:eastAsia="Arial" w:hAnsi="Arial" w:cs="Arial"/>
          <w:sz w:val="22"/>
          <w:szCs w:val="22"/>
        </w:rPr>
      </w:pPr>
    </w:p>
    <w:p w14:paraId="5511F795" w14:textId="77777777" w:rsidR="0018473E" w:rsidRPr="00F635C4" w:rsidRDefault="0018473E">
      <w:pPr>
        <w:jc w:val="both"/>
        <w:rPr>
          <w:rFonts w:ascii="Arial" w:eastAsia="Arial" w:hAnsi="Arial" w:cs="Arial"/>
          <w:sz w:val="22"/>
          <w:szCs w:val="22"/>
        </w:rPr>
      </w:pPr>
    </w:p>
    <w:p w14:paraId="2D53E0CD" w14:textId="77777777" w:rsidR="0018473E" w:rsidRPr="00F635C4" w:rsidRDefault="00015EA5">
      <w:pPr>
        <w:jc w:val="center"/>
        <w:rPr>
          <w:rFonts w:ascii="Arial" w:eastAsia="Arial" w:hAnsi="Arial" w:cs="Arial"/>
          <w:b/>
          <w:sz w:val="22"/>
          <w:szCs w:val="22"/>
        </w:rPr>
      </w:pPr>
      <w:r w:rsidRPr="00F635C4">
        <w:rPr>
          <w:rFonts w:ascii="Arial" w:eastAsia="Arial" w:hAnsi="Arial" w:cs="Arial"/>
          <w:b/>
          <w:sz w:val="22"/>
          <w:szCs w:val="22"/>
        </w:rPr>
        <w:t>Gráfico 2. Tenencia de vivienda en Bogotá</w:t>
      </w:r>
    </w:p>
    <w:p w14:paraId="05E3F1DE" w14:textId="77777777" w:rsidR="0018473E" w:rsidRPr="00F635C4" w:rsidRDefault="00015EA5">
      <w:pPr>
        <w:jc w:val="center"/>
        <w:rPr>
          <w:rFonts w:ascii="Arial" w:eastAsia="Arial" w:hAnsi="Arial" w:cs="Arial"/>
          <w:b/>
          <w:sz w:val="22"/>
          <w:szCs w:val="22"/>
        </w:rPr>
      </w:pPr>
      <w:r w:rsidRPr="00F635C4">
        <w:rPr>
          <w:rFonts w:ascii="Arial" w:eastAsia="Arial" w:hAnsi="Arial" w:cs="Arial"/>
          <w:b/>
          <w:noProof/>
          <w:sz w:val="22"/>
          <w:szCs w:val="22"/>
        </w:rPr>
        <w:drawing>
          <wp:inline distT="0" distB="0" distL="0" distR="0" wp14:anchorId="3D591193" wp14:editId="1D041630">
            <wp:extent cx="4838700" cy="2352675"/>
            <wp:effectExtent l="0" t="0" r="0" b="0"/>
            <wp:docPr id="1987837077" name="Gráfico 198783707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4C27983" w14:textId="77777777" w:rsidR="0018473E" w:rsidRPr="00F635C4" w:rsidRDefault="00015EA5">
      <w:pPr>
        <w:jc w:val="center"/>
        <w:rPr>
          <w:rFonts w:ascii="Arial" w:eastAsia="Arial" w:hAnsi="Arial" w:cs="Arial"/>
          <w:sz w:val="22"/>
          <w:szCs w:val="22"/>
        </w:rPr>
      </w:pPr>
      <w:r w:rsidRPr="00F635C4">
        <w:rPr>
          <w:rFonts w:ascii="Arial" w:eastAsia="Arial" w:hAnsi="Arial" w:cs="Arial"/>
          <w:sz w:val="18"/>
          <w:szCs w:val="18"/>
        </w:rPr>
        <w:t>Fuente: Elaboración Camacol ByC con base en DANE</w:t>
      </w:r>
      <w:r w:rsidRPr="00F635C4">
        <w:rPr>
          <w:rFonts w:ascii="Arial" w:eastAsia="Arial" w:hAnsi="Arial" w:cs="Arial"/>
          <w:sz w:val="22"/>
          <w:szCs w:val="22"/>
        </w:rPr>
        <w:t>.</w:t>
      </w:r>
    </w:p>
    <w:p w14:paraId="03BC6259" w14:textId="77777777" w:rsidR="0018473E" w:rsidRPr="00F635C4" w:rsidRDefault="0018473E">
      <w:pPr>
        <w:jc w:val="both"/>
        <w:rPr>
          <w:rFonts w:ascii="Arial" w:eastAsia="Arial" w:hAnsi="Arial" w:cs="Arial"/>
          <w:sz w:val="22"/>
          <w:szCs w:val="22"/>
        </w:rPr>
      </w:pPr>
    </w:p>
    <w:p w14:paraId="1976A1E4" w14:textId="7A620C2A" w:rsidR="0018473E" w:rsidRPr="00F635C4" w:rsidRDefault="000079DA">
      <w:pPr>
        <w:pBdr>
          <w:top w:val="nil"/>
          <w:left w:val="nil"/>
          <w:bottom w:val="nil"/>
          <w:right w:val="nil"/>
          <w:between w:val="nil"/>
        </w:pBdr>
        <w:jc w:val="both"/>
        <w:rPr>
          <w:rFonts w:ascii="Arial" w:eastAsia="Arial" w:hAnsi="Arial" w:cs="Arial"/>
          <w:sz w:val="22"/>
          <w:szCs w:val="22"/>
        </w:rPr>
      </w:pPr>
      <w:r w:rsidRPr="00F635C4">
        <w:rPr>
          <w:rFonts w:ascii="Arial" w:eastAsia="Arial" w:hAnsi="Arial" w:cs="Arial"/>
          <w:sz w:val="22"/>
          <w:szCs w:val="22"/>
        </w:rPr>
        <w:t>En Colombia el mercado de arriendo mueve cerca de $46 billones al año, de los cuales más de $14 billones son en Bogotá, pero la mayoría de las operaciones son entre personas y casi no existe oferta gestionada por propietarios y operadores profesionales. Mientras en otros países la vivienda en renta es el principal activo inmobiliario y ciudades como Ciudad de México y Santiago de Chile ya tienen miles de unidades de renta especializada y un fuerte crecimiento proyectado, en Colombia este mercado está prácticamente inexplorado. Aunque existen fondos de capital, fondos inmobiliarios y titularizadoras que administran activos por más de $35 billones y muestran interés en invertir en vivienda en renta, la brecha en costos de financiación y rentabilidad frente a segmentos como oficinas, comercio o bodegas ha impedido que esa inversión se materialice. Prueba de ello es que hoy en Bogotá solo hay un proyecto de renta especializada en operación, con 130 unidades.</w:t>
      </w:r>
    </w:p>
    <w:p w14:paraId="1E79A643" w14:textId="77777777" w:rsidR="000079DA" w:rsidRPr="00F635C4" w:rsidRDefault="000079DA">
      <w:pPr>
        <w:pBdr>
          <w:top w:val="nil"/>
          <w:left w:val="nil"/>
          <w:bottom w:val="nil"/>
          <w:right w:val="nil"/>
          <w:between w:val="nil"/>
        </w:pBdr>
        <w:jc w:val="both"/>
        <w:rPr>
          <w:rFonts w:ascii="Arial" w:eastAsia="Arial" w:hAnsi="Arial" w:cs="Arial"/>
          <w:color w:val="000000"/>
          <w:sz w:val="22"/>
          <w:szCs w:val="22"/>
        </w:rPr>
      </w:pPr>
    </w:p>
    <w:p w14:paraId="772D6411" w14:textId="77777777" w:rsidR="0018473E" w:rsidRPr="00F635C4" w:rsidRDefault="00015EA5">
      <w:pPr>
        <w:jc w:val="center"/>
        <w:rPr>
          <w:rFonts w:ascii="Arial" w:eastAsia="Arial" w:hAnsi="Arial" w:cs="Arial"/>
          <w:sz w:val="22"/>
          <w:szCs w:val="22"/>
        </w:rPr>
      </w:pPr>
      <w:r w:rsidRPr="00F635C4">
        <w:rPr>
          <w:rFonts w:ascii="Arial" w:eastAsia="Arial" w:hAnsi="Arial" w:cs="Arial"/>
          <w:b/>
          <w:sz w:val="22"/>
          <w:szCs w:val="22"/>
        </w:rPr>
        <w:t>Gráfico 3. Comparación de TIR y Cap rates en productos activos inmobiliarios</w:t>
      </w:r>
    </w:p>
    <w:p w14:paraId="2364E1E1" w14:textId="77777777" w:rsidR="0018473E" w:rsidRPr="00F635C4" w:rsidRDefault="00015EA5">
      <w:pPr>
        <w:pBdr>
          <w:top w:val="nil"/>
          <w:left w:val="nil"/>
          <w:bottom w:val="nil"/>
          <w:right w:val="nil"/>
          <w:between w:val="nil"/>
        </w:pBdr>
        <w:jc w:val="center"/>
        <w:rPr>
          <w:rFonts w:ascii="Arial" w:eastAsia="Arial" w:hAnsi="Arial" w:cs="Arial"/>
          <w:b/>
          <w:color w:val="000000"/>
          <w:sz w:val="22"/>
          <w:szCs w:val="22"/>
        </w:rPr>
      </w:pPr>
      <w:r w:rsidRPr="00F635C4">
        <w:rPr>
          <w:rFonts w:ascii="Arial" w:eastAsia="Arial" w:hAnsi="Arial" w:cs="Arial"/>
          <w:b/>
          <w:noProof/>
          <w:color w:val="000000"/>
          <w:sz w:val="22"/>
          <w:szCs w:val="22"/>
        </w:rPr>
        <w:drawing>
          <wp:inline distT="0" distB="0" distL="0" distR="0" wp14:anchorId="40D3E47D" wp14:editId="1BF159F7">
            <wp:extent cx="3886200" cy="2000250"/>
            <wp:effectExtent l="0" t="0" r="0" b="0"/>
            <wp:docPr id="1987837078" name="Gráfico 198783707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03A3865" w14:textId="77777777" w:rsidR="0018473E" w:rsidRPr="00F635C4" w:rsidRDefault="00015EA5">
      <w:pPr>
        <w:jc w:val="center"/>
        <w:rPr>
          <w:rFonts w:ascii="Arial" w:eastAsia="Arial" w:hAnsi="Arial" w:cs="Arial"/>
          <w:sz w:val="18"/>
          <w:szCs w:val="18"/>
        </w:rPr>
      </w:pPr>
      <w:r w:rsidRPr="00F635C4">
        <w:rPr>
          <w:rFonts w:ascii="Arial" w:eastAsia="Arial" w:hAnsi="Arial" w:cs="Arial"/>
          <w:sz w:val="18"/>
          <w:szCs w:val="18"/>
        </w:rPr>
        <w:t>Fuente: Logan Valuation.</w:t>
      </w:r>
    </w:p>
    <w:p w14:paraId="04927BB9" w14:textId="77777777" w:rsidR="0018473E" w:rsidRPr="00F635C4" w:rsidRDefault="0018473E">
      <w:pPr>
        <w:jc w:val="both"/>
        <w:rPr>
          <w:rFonts w:ascii="Arial" w:eastAsia="Arial" w:hAnsi="Arial" w:cs="Arial"/>
          <w:sz w:val="22"/>
          <w:szCs w:val="22"/>
        </w:rPr>
      </w:pPr>
    </w:p>
    <w:p w14:paraId="7BD2DC3C" w14:textId="77777777" w:rsidR="00A66DC7" w:rsidRPr="00F635C4" w:rsidRDefault="00A66DC7" w:rsidP="00A66DC7">
      <w:pPr>
        <w:jc w:val="both"/>
        <w:rPr>
          <w:rFonts w:ascii="Arial" w:eastAsia="Arial" w:hAnsi="Arial" w:cs="Arial"/>
          <w:sz w:val="22"/>
          <w:szCs w:val="22"/>
        </w:rPr>
      </w:pPr>
      <w:r w:rsidRPr="00F635C4">
        <w:rPr>
          <w:rFonts w:ascii="Arial" w:eastAsia="Arial" w:hAnsi="Arial" w:cs="Arial"/>
          <w:sz w:val="22"/>
          <w:szCs w:val="22"/>
        </w:rPr>
        <w:t>Para la autora, el modelo de vivienda en renta especializado se distingue del modelo tradicional de arriendos por ser una inversión inmobiliaria con características específicas: el inmueble tiene un único propietario (generalmente una entidad o vehículo de inversión), está destinado en su totalidad a la renta y es operado de forma profesional.</w:t>
      </w:r>
    </w:p>
    <w:p w14:paraId="6357D7A4" w14:textId="77777777" w:rsidR="00A66DC7" w:rsidRPr="00F635C4" w:rsidRDefault="00A66DC7" w:rsidP="00A66DC7">
      <w:pPr>
        <w:jc w:val="both"/>
        <w:rPr>
          <w:rFonts w:ascii="Arial" w:eastAsia="Arial" w:hAnsi="Arial" w:cs="Arial"/>
          <w:sz w:val="22"/>
          <w:szCs w:val="22"/>
        </w:rPr>
      </w:pPr>
    </w:p>
    <w:p w14:paraId="78796836" w14:textId="4A3FAF67" w:rsidR="0018473E" w:rsidRPr="00F635C4" w:rsidRDefault="00A66DC7" w:rsidP="00A66DC7">
      <w:pPr>
        <w:jc w:val="both"/>
        <w:rPr>
          <w:rFonts w:ascii="Arial" w:eastAsia="Arial" w:hAnsi="Arial" w:cs="Arial"/>
          <w:sz w:val="22"/>
          <w:szCs w:val="22"/>
        </w:rPr>
      </w:pPr>
      <w:r w:rsidRPr="00F635C4">
        <w:rPr>
          <w:rFonts w:ascii="Arial" w:eastAsia="Arial" w:hAnsi="Arial" w:cs="Arial"/>
          <w:sz w:val="22"/>
          <w:szCs w:val="22"/>
        </w:rPr>
        <w:t>Aquí está la comparación de ambos modelos planteada por la autora:</w:t>
      </w:r>
    </w:p>
    <w:p w14:paraId="0838DFB5" w14:textId="77777777" w:rsidR="00A66DC7" w:rsidRPr="00F635C4" w:rsidRDefault="00A66DC7" w:rsidP="00A66DC7">
      <w:pPr>
        <w:jc w:val="both"/>
        <w:rPr>
          <w:rFonts w:ascii="Arial" w:eastAsia="Arial" w:hAnsi="Arial" w:cs="Arial"/>
          <w:sz w:val="22"/>
          <w:szCs w:val="22"/>
        </w:rPr>
      </w:pPr>
    </w:p>
    <w:p w14:paraId="649FD016" w14:textId="77777777"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Tabla 4. Diferencias entre el mercado actual de arriendo y el arrendamiento especializado</w:t>
      </w:r>
    </w:p>
    <w:p w14:paraId="61FEBF1F" w14:textId="77777777" w:rsidR="0018473E" w:rsidRPr="00F635C4" w:rsidRDefault="00015EA5">
      <w:pPr>
        <w:jc w:val="both"/>
        <w:rPr>
          <w:rFonts w:ascii="Arial" w:eastAsia="Arial" w:hAnsi="Arial" w:cs="Arial"/>
          <w:sz w:val="22"/>
          <w:szCs w:val="22"/>
        </w:rPr>
      </w:pPr>
      <w:r w:rsidRPr="00F635C4">
        <w:rPr>
          <w:rFonts w:ascii="Arial" w:eastAsia="Arial" w:hAnsi="Arial" w:cs="Arial"/>
          <w:sz w:val="22"/>
          <w:szCs w:val="22"/>
        </w:rPr>
        <w:t xml:space="preserve"> </w:t>
      </w:r>
    </w:p>
    <w:p w14:paraId="04F6EE05" w14:textId="77777777" w:rsidR="0018473E" w:rsidRPr="00F635C4" w:rsidRDefault="00015EA5">
      <w:pPr>
        <w:jc w:val="center"/>
        <w:rPr>
          <w:rFonts w:ascii="Arial" w:eastAsia="Arial" w:hAnsi="Arial" w:cs="Arial"/>
          <w:sz w:val="22"/>
          <w:szCs w:val="22"/>
        </w:rPr>
      </w:pPr>
      <w:r w:rsidRPr="00F635C4">
        <w:rPr>
          <w:rFonts w:ascii="Arial" w:eastAsia="Arial" w:hAnsi="Arial" w:cs="Arial"/>
          <w:noProof/>
          <w:sz w:val="22"/>
          <w:szCs w:val="22"/>
        </w:rPr>
        <w:drawing>
          <wp:inline distT="0" distB="0" distL="0" distR="0" wp14:anchorId="1515284F" wp14:editId="67B80E6D">
            <wp:extent cx="5299544" cy="1517518"/>
            <wp:effectExtent l="0" t="0" r="0" b="0"/>
            <wp:docPr id="198783708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5299544" cy="1517518"/>
                    </a:xfrm>
                    <a:prstGeom prst="rect">
                      <a:avLst/>
                    </a:prstGeom>
                    <a:ln/>
                  </pic:spPr>
                </pic:pic>
              </a:graphicData>
            </a:graphic>
          </wp:inline>
        </w:drawing>
      </w:r>
    </w:p>
    <w:p w14:paraId="1015DC8F" w14:textId="77777777" w:rsidR="0018473E" w:rsidRPr="00F635C4" w:rsidRDefault="00015EA5">
      <w:pPr>
        <w:jc w:val="center"/>
        <w:rPr>
          <w:rFonts w:ascii="Arial" w:eastAsia="Arial" w:hAnsi="Arial" w:cs="Arial"/>
          <w:sz w:val="18"/>
          <w:szCs w:val="18"/>
        </w:rPr>
      </w:pPr>
      <w:r w:rsidRPr="00F635C4">
        <w:rPr>
          <w:rFonts w:ascii="Arial" w:eastAsia="Arial" w:hAnsi="Arial" w:cs="Arial"/>
          <w:sz w:val="18"/>
          <w:szCs w:val="18"/>
        </w:rPr>
        <w:t>Fuente: Domus Capital</w:t>
      </w:r>
    </w:p>
    <w:p w14:paraId="51544301" w14:textId="77777777" w:rsidR="00AD01FC" w:rsidRPr="00F635C4" w:rsidRDefault="00AD01FC" w:rsidP="000079DA">
      <w:pPr>
        <w:jc w:val="both"/>
        <w:rPr>
          <w:rFonts w:ascii="Arial" w:eastAsia="Arial" w:hAnsi="Arial" w:cs="Arial"/>
          <w:sz w:val="22"/>
          <w:szCs w:val="22"/>
        </w:rPr>
      </w:pPr>
    </w:p>
    <w:p w14:paraId="453386CC" w14:textId="2AE9DF78" w:rsidR="000079DA" w:rsidRPr="00F635C4" w:rsidRDefault="00AD01FC" w:rsidP="000079DA">
      <w:pPr>
        <w:jc w:val="both"/>
        <w:rPr>
          <w:rFonts w:ascii="Arial" w:eastAsia="Arial" w:hAnsi="Arial" w:cs="Arial"/>
          <w:sz w:val="22"/>
          <w:szCs w:val="22"/>
        </w:rPr>
      </w:pPr>
      <w:r w:rsidRPr="00F635C4">
        <w:rPr>
          <w:rFonts w:ascii="Arial" w:eastAsia="Arial" w:hAnsi="Arial" w:cs="Arial"/>
          <w:sz w:val="22"/>
          <w:szCs w:val="22"/>
        </w:rPr>
        <w:t>L</w:t>
      </w:r>
      <w:r w:rsidR="00A66DC7" w:rsidRPr="00F635C4">
        <w:rPr>
          <w:rFonts w:ascii="Arial" w:eastAsia="Arial" w:hAnsi="Arial" w:cs="Arial"/>
          <w:sz w:val="22"/>
          <w:szCs w:val="22"/>
        </w:rPr>
        <w:t>a autora</w:t>
      </w:r>
      <w:r w:rsidRPr="00F635C4">
        <w:rPr>
          <w:rFonts w:ascii="Arial" w:eastAsia="Arial" w:hAnsi="Arial" w:cs="Arial"/>
          <w:sz w:val="22"/>
          <w:szCs w:val="22"/>
        </w:rPr>
        <w:t xml:space="preserve"> hace la aclaración de que,</w:t>
      </w:r>
      <w:r w:rsidR="00A66DC7" w:rsidRPr="00F635C4">
        <w:rPr>
          <w:rFonts w:ascii="Arial" w:eastAsia="Arial" w:hAnsi="Arial" w:cs="Arial"/>
          <w:sz w:val="22"/>
          <w:szCs w:val="22"/>
        </w:rPr>
        <w:t xml:space="preserve"> e</w:t>
      </w:r>
      <w:r w:rsidR="000079DA" w:rsidRPr="00F635C4">
        <w:rPr>
          <w:rFonts w:ascii="Arial" w:eastAsia="Arial" w:hAnsi="Arial" w:cs="Arial"/>
          <w:sz w:val="22"/>
          <w:szCs w:val="22"/>
        </w:rPr>
        <w:t>ste modelo de renta no es vivienda turística ni coliving, así que no compite con hoteles ni con plataformas de rentas cortas. Está pensado para arriendos de larga estancia y para atender nichos específicos como vivienda asistida para adultos mayores, vivienda estudiantil y proyectos multifamiliares para distintos tipos de familia. Según el informe “Mercado de Renta Residencial Multifamily” de BDO, en Chile este tipo de arriendo especializado alcanzó a finales de 2024 un stock de 46.773 unidades con distintas configuraciones de habitaciones y baños, ajustadas a las tendencias demográficas y a las necesidades de los hogares.</w:t>
      </w:r>
    </w:p>
    <w:p w14:paraId="46D37E96" w14:textId="77777777" w:rsidR="000079DA" w:rsidRPr="00F635C4" w:rsidRDefault="000079DA">
      <w:pPr>
        <w:jc w:val="center"/>
        <w:rPr>
          <w:rFonts w:ascii="Arial" w:eastAsia="Arial" w:hAnsi="Arial" w:cs="Arial"/>
          <w:sz w:val="22"/>
          <w:szCs w:val="22"/>
        </w:rPr>
      </w:pPr>
    </w:p>
    <w:p w14:paraId="243FFA19" w14:textId="64C72496" w:rsidR="0018473E" w:rsidRPr="00F635C4" w:rsidRDefault="00015EA5">
      <w:pPr>
        <w:jc w:val="center"/>
        <w:rPr>
          <w:rFonts w:ascii="Arial" w:eastAsia="Arial" w:hAnsi="Arial" w:cs="Arial"/>
          <w:b/>
          <w:sz w:val="22"/>
          <w:szCs w:val="22"/>
        </w:rPr>
      </w:pPr>
      <w:r w:rsidRPr="00F635C4">
        <w:rPr>
          <w:rFonts w:ascii="Arial" w:eastAsia="Arial" w:hAnsi="Arial" w:cs="Arial"/>
          <w:b/>
          <w:sz w:val="22"/>
          <w:szCs w:val="22"/>
        </w:rPr>
        <w:t>Gráfico 4. Distribución de unidades por tipología en el mercado multifamily en Chile</w:t>
      </w:r>
    </w:p>
    <w:p w14:paraId="456A580A" w14:textId="77777777" w:rsidR="0018473E" w:rsidRPr="00F635C4" w:rsidRDefault="00015EA5">
      <w:pPr>
        <w:jc w:val="center"/>
        <w:rPr>
          <w:rFonts w:ascii="Arial" w:eastAsia="Arial" w:hAnsi="Arial" w:cs="Arial"/>
          <w:color w:val="000000"/>
          <w:sz w:val="22"/>
          <w:szCs w:val="22"/>
        </w:rPr>
      </w:pPr>
      <w:r w:rsidRPr="00F635C4">
        <w:rPr>
          <w:rFonts w:ascii="Arial" w:eastAsia="Arial" w:hAnsi="Arial" w:cs="Arial"/>
          <w:noProof/>
          <w:sz w:val="22"/>
          <w:szCs w:val="22"/>
        </w:rPr>
        <w:drawing>
          <wp:inline distT="0" distB="0" distL="0" distR="0" wp14:anchorId="1B0E607D" wp14:editId="11985CAD">
            <wp:extent cx="2348320" cy="1658947"/>
            <wp:effectExtent l="0" t="0" r="0" b="0"/>
            <wp:docPr id="198783708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7"/>
                    <a:srcRect/>
                    <a:stretch>
                      <a:fillRect/>
                    </a:stretch>
                  </pic:blipFill>
                  <pic:spPr>
                    <a:xfrm>
                      <a:off x="0" y="0"/>
                      <a:ext cx="2348320" cy="1658947"/>
                    </a:xfrm>
                    <a:prstGeom prst="rect">
                      <a:avLst/>
                    </a:prstGeom>
                    <a:ln/>
                  </pic:spPr>
                </pic:pic>
              </a:graphicData>
            </a:graphic>
          </wp:inline>
        </w:drawing>
      </w:r>
    </w:p>
    <w:p w14:paraId="1BC05200" w14:textId="77777777" w:rsidR="0018473E" w:rsidRPr="00F635C4" w:rsidRDefault="00015EA5">
      <w:pPr>
        <w:jc w:val="center"/>
        <w:rPr>
          <w:rFonts w:ascii="Arial" w:eastAsia="Arial" w:hAnsi="Arial" w:cs="Arial"/>
          <w:sz w:val="22"/>
          <w:szCs w:val="22"/>
        </w:rPr>
      </w:pPr>
      <w:r w:rsidRPr="00F635C4">
        <w:rPr>
          <w:rFonts w:ascii="Arial" w:eastAsia="Arial" w:hAnsi="Arial" w:cs="Arial"/>
          <w:sz w:val="18"/>
          <w:szCs w:val="18"/>
        </w:rPr>
        <w:t>Fuente: BDO</w:t>
      </w:r>
      <w:r w:rsidRPr="00F635C4">
        <w:rPr>
          <w:rFonts w:ascii="Arial" w:eastAsia="Arial" w:hAnsi="Arial" w:cs="Arial"/>
          <w:sz w:val="22"/>
          <w:szCs w:val="22"/>
        </w:rPr>
        <w:t>.</w:t>
      </w:r>
    </w:p>
    <w:p w14:paraId="3C167FB9" w14:textId="77777777" w:rsidR="0018473E" w:rsidRPr="00F635C4" w:rsidRDefault="0018473E">
      <w:pPr>
        <w:jc w:val="both"/>
        <w:rPr>
          <w:rFonts w:ascii="Arial" w:eastAsia="Arial" w:hAnsi="Arial" w:cs="Arial"/>
          <w:color w:val="000000"/>
          <w:sz w:val="22"/>
          <w:szCs w:val="22"/>
        </w:rPr>
      </w:pPr>
    </w:p>
    <w:p w14:paraId="5E46125E" w14:textId="794E4147" w:rsidR="0018473E" w:rsidRPr="00F635C4" w:rsidRDefault="00A66DC7">
      <w:pPr>
        <w:jc w:val="both"/>
        <w:rPr>
          <w:rFonts w:ascii="Arial" w:eastAsia="Arial" w:hAnsi="Arial" w:cs="Arial"/>
          <w:color w:val="000000"/>
          <w:sz w:val="22"/>
          <w:szCs w:val="22"/>
        </w:rPr>
      </w:pPr>
      <w:bookmarkStart w:id="1" w:name="_heading=h.eiv1fnhon8ux" w:colFirst="0" w:colLast="0"/>
      <w:bookmarkEnd w:id="1"/>
      <w:r w:rsidRPr="00F635C4">
        <w:rPr>
          <w:rFonts w:ascii="Arial" w:eastAsia="Arial" w:hAnsi="Arial" w:cs="Arial"/>
          <w:color w:val="000000"/>
          <w:sz w:val="22"/>
          <w:szCs w:val="22"/>
        </w:rPr>
        <w:t>Por último, concluye la autora</w:t>
      </w:r>
      <w:r w:rsidR="007D10E3" w:rsidRPr="00F635C4">
        <w:rPr>
          <w:rFonts w:ascii="Arial" w:eastAsia="Arial" w:hAnsi="Arial" w:cs="Arial"/>
          <w:color w:val="000000"/>
          <w:sz w:val="22"/>
          <w:szCs w:val="22"/>
        </w:rPr>
        <w:t>,</w:t>
      </w:r>
      <w:r w:rsidRPr="00F635C4">
        <w:rPr>
          <w:rFonts w:ascii="Arial" w:eastAsia="Arial" w:hAnsi="Arial" w:cs="Arial"/>
          <w:color w:val="000000"/>
          <w:sz w:val="22"/>
          <w:szCs w:val="22"/>
        </w:rPr>
        <w:t xml:space="preserve"> que, a</w:t>
      </w:r>
      <w:r w:rsidR="00174080" w:rsidRPr="00F635C4">
        <w:rPr>
          <w:rFonts w:ascii="Arial" w:eastAsia="Arial" w:hAnsi="Arial" w:cs="Arial"/>
          <w:color w:val="000000"/>
          <w:sz w:val="22"/>
          <w:szCs w:val="22"/>
        </w:rPr>
        <w:t xml:space="preserve"> nivel local, </w:t>
      </w:r>
      <w:r w:rsidR="00C34550" w:rsidRPr="00F635C4">
        <w:rPr>
          <w:rFonts w:ascii="Arial" w:eastAsia="Arial" w:hAnsi="Arial" w:cs="Arial"/>
          <w:color w:val="000000"/>
          <w:sz w:val="22"/>
          <w:szCs w:val="22"/>
        </w:rPr>
        <w:t>“</w:t>
      </w:r>
      <w:r w:rsidR="00174080" w:rsidRPr="00F635C4">
        <w:rPr>
          <w:rFonts w:ascii="Arial" w:eastAsia="Arial" w:hAnsi="Arial" w:cs="Arial"/>
          <w:color w:val="000000"/>
          <w:sz w:val="22"/>
          <w:szCs w:val="22"/>
        </w:rPr>
        <w:t>un gestor inmobiliario de proyectos de renta multifamiliar maneja un portafolio compuesto por 25 % de unidades tipo loft (34–38 m²), 59 % de apartamentos de un dormitorio (45–70 m²) y 16 % de dos dormitorios (72–86 m²). Con base en la experiencia internacional, se identifican tres tipos de incentivos para impulsar la vivienda en renta especializada: sobre el predial, sobre la deuda y sobre las cargas urbanísticas. En esta propuesta se prioriza el impuesto predial, ya que es uno de los costos más altos en la operación de estos activos y puede representar entre el 20 % y el 30 % de los costos totales.</w:t>
      </w:r>
      <w:r w:rsidR="00C34550" w:rsidRPr="00F635C4">
        <w:rPr>
          <w:rFonts w:ascii="Arial" w:eastAsia="Arial" w:hAnsi="Arial" w:cs="Arial"/>
          <w:color w:val="000000"/>
          <w:sz w:val="22"/>
          <w:szCs w:val="22"/>
        </w:rPr>
        <w:t>”</w:t>
      </w:r>
    </w:p>
    <w:p w14:paraId="3C3A97AD" w14:textId="77777777" w:rsidR="00174080" w:rsidRPr="00F635C4" w:rsidRDefault="00174080">
      <w:pPr>
        <w:jc w:val="both"/>
        <w:rPr>
          <w:rFonts w:ascii="Arial" w:eastAsia="Arial" w:hAnsi="Arial" w:cs="Arial"/>
          <w:sz w:val="22"/>
          <w:szCs w:val="22"/>
        </w:rPr>
      </w:pPr>
    </w:p>
    <w:p w14:paraId="413B8E25" w14:textId="6D2E314E"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2.2.2. PROPUESTA</w:t>
      </w:r>
      <w:r w:rsidR="00174080" w:rsidRPr="00F635C4">
        <w:rPr>
          <w:rFonts w:ascii="Arial" w:eastAsia="Arial" w:hAnsi="Arial" w:cs="Arial"/>
          <w:b/>
          <w:sz w:val="22"/>
          <w:szCs w:val="22"/>
        </w:rPr>
        <w:t xml:space="preserve"> DE LA AUTORA </w:t>
      </w:r>
    </w:p>
    <w:p w14:paraId="24C8EDCC" w14:textId="77777777" w:rsidR="0018473E" w:rsidRPr="00F635C4" w:rsidRDefault="00015EA5">
      <w:pPr>
        <w:jc w:val="both"/>
        <w:rPr>
          <w:rFonts w:ascii="Arial" w:eastAsia="Arial" w:hAnsi="Arial" w:cs="Arial"/>
          <w:sz w:val="22"/>
          <w:szCs w:val="22"/>
        </w:rPr>
      </w:pPr>
      <w:r w:rsidRPr="00F635C4">
        <w:rPr>
          <w:rFonts w:ascii="Arial" w:eastAsia="Arial" w:hAnsi="Arial" w:cs="Arial"/>
          <w:sz w:val="22"/>
          <w:szCs w:val="22"/>
        </w:rPr>
        <w:t xml:space="preserve">     </w:t>
      </w:r>
    </w:p>
    <w:p w14:paraId="172BF919" w14:textId="6CD998E1" w:rsidR="0018473E" w:rsidRPr="00F635C4" w:rsidRDefault="001D1616">
      <w:pPr>
        <w:jc w:val="both"/>
        <w:rPr>
          <w:rFonts w:ascii="Arial" w:eastAsia="Arial" w:hAnsi="Arial" w:cs="Arial"/>
          <w:sz w:val="22"/>
          <w:szCs w:val="22"/>
        </w:rPr>
      </w:pPr>
      <w:r w:rsidRPr="00F635C4">
        <w:rPr>
          <w:rFonts w:ascii="Arial" w:eastAsia="Arial" w:hAnsi="Arial" w:cs="Arial"/>
          <w:sz w:val="22"/>
          <w:szCs w:val="22"/>
        </w:rPr>
        <w:t>Para promover el desarrollo del modelo de arrendamiento especializado, la autora propone un esquema de incentivos tributarios y requisitos de cumplimiento. El beneficio central es un descuento del impuesto predial que asciende al 90% durante los primeros cinco años de operación del proyecto, seguido de una reducción progresiva durante los cinco años posteriores (70%, 50%, 30%, 20% y 10%). Este estímulo busca impulsar una nueva línea de desarrollo inmobiliario, la inversión y el empleo, sin generar egresos directos para la ciudad. Para garantizar que el beneficio cumpla su objetivo, los proyectos postulados (en un periodo de cinco años) deben cumplir con cinco requisitos principales: 1) tener al menos 50 unidades residenciales y mantener el 100% bajo propiedad única para renta, 2) contar con la matrícula de arrendadores de la Secretaría del Hábitat, 3) obtener una certificación de construcción sostenible (como LEED o BREAM), 4) la prohibición de vender unidades individuales durante el periodo del beneficio, y 5) los proyectos solo podrán aplicar al descuento cuando acrediten su fase de operación.</w:t>
      </w:r>
    </w:p>
    <w:p w14:paraId="0D000143" w14:textId="77777777" w:rsidR="0018473E" w:rsidRPr="00F635C4" w:rsidRDefault="0018473E">
      <w:pPr>
        <w:jc w:val="both"/>
        <w:rPr>
          <w:rFonts w:ascii="Arial" w:eastAsia="Arial" w:hAnsi="Arial" w:cs="Arial"/>
          <w:sz w:val="22"/>
          <w:szCs w:val="22"/>
        </w:rPr>
      </w:pPr>
    </w:p>
    <w:p w14:paraId="543D1E43" w14:textId="65DBAA0D"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2.2.3. ANÁLISIS COSTO-BENEFICIO</w:t>
      </w:r>
      <w:r w:rsidR="00174080" w:rsidRPr="00F635C4">
        <w:rPr>
          <w:rFonts w:ascii="Arial" w:eastAsia="Arial" w:hAnsi="Arial" w:cs="Arial"/>
          <w:b/>
          <w:sz w:val="22"/>
          <w:szCs w:val="22"/>
        </w:rPr>
        <w:t xml:space="preserve"> REALIZADO POR LA AUTORA</w:t>
      </w:r>
    </w:p>
    <w:p w14:paraId="47BECFA6" w14:textId="77777777" w:rsidR="0018473E" w:rsidRPr="00F635C4" w:rsidRDefault="0018473E">
      <w:pPr>
        <w:jc w:val="both"/>
        <w:rPr>
          <w:rFonts w:ascii="Arial" w:eastAsia="Arial" w:hAnsi="Arial" w:cs="Arial"/>
          <w:sz w:val="22"/>
          <w:szCs w:val="22"/>
        </w:rPr>
      </w:pPr>
    </w:p>
    <w:p w14:paraId="7E30EEF0" w14:textId="77777777"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2.1.3.1. PARÁMETROS CONSIDERADOS EN LA ESTIMACIÓN</w:t>
      </w:r>
    </w:p>
    <w:p w14:paraId="364B7303" w14:textId="77777777" w:rsidR="0018473E" w:rsidRPr="00F635C4" w:rsidRDefault="0018473E">
      <w:pPr>
        <w:jc w:val="both"/>
        <w:rPr>
          <w:rFonts w:ascii="Arial" w:eastAsia="Arial" w:hAnsi="Arial" w:cs="Arial"/>
          <w:sz w:val="22"/>
          <w:szCs w:val="22"/>
        </w:rPr>
      </w:pPr>
    </w:p>
    <w:p w14:paraId="202323E3" w14:textId="6A0F5C00" w:rsidR="001D1616" w:rsidRPr="00F635C4" w:rsidRDefault="001D1616" w:rsidP="001D1616">
      <w:pPr>
        <w:jc w:val="both"/>
        <w:rPr>
          <w:rFonts w:ascii="Arial" w:eastAsia="Arial" w:hAnsi="Arial" w:cs="Arial"/>
          <w:sz w:val="22"/>
          <w:szCs w:val="22"/>
        </w:rPr>
      </w:pPr>
      <w:r w:rsidRPr="00F635C4">
        <w:rPr>
          <w:rFonts w:ascii="Arial" w:eastAsia="Arial" w:hAnsi="Arial" w:cs="Arial"/>
          <w:sz w:val="22"/>
          <w:szCs w:val="22"/>
        </w:rPr>
        <w:t>La autora considera que, durante la fase de construcción, se genera un flujo significativo de recursos fiscales a través de los impuestos de Delineación Urbana y el Impuesto de Industria y Comercio (ICA) por el uso de materiales y servicios. Luego, en la operación de los proyectos de arriendo especializado, se activa una cadena de tributación continua mediante el pago de tributos adicionales como el ICA, generado por actividades de arrendamiento formal, administración y mantenimiento de las unidades.</w:t>
      </w:r>
    </w:p>
    <w:p w14:paraId="7F248770" w14:textId="77777777" w:rsidR="001D1616" w:rsidRPr="00F635C4" w:rsidRDefault="001D1616" w:rsidP="001D1616">
      <w:pPr>
        <w:jc w:val="both"/>
        <w:rPr>
          <w:rFonts w:ascii="Arial" w:eastAsia="Arial" w:hAnsi="Arial" w:cs="Arial"/>
          <w:sz w:val="22"/>
          <w:szCs w:val="22"/>
        </w:rPr>
      </w:pPr>
    </w:p>
    <w:p w14:paraId="0323926C" w14:textId="376CDAEF" w:rsidR="0018473E" w:rsidRPr="00F635C4" w:rsidRDefault="001D1616" w:rsidP="001D1616">
      <w:pPr>
        <w:jc w:val="both"/>
        <w:rPr>
          <w:rFonts w:ascii="Arial" w:eastAsia="Arial" w:hAnsi="Arial" w:cs="Arial"/>
          <w:sz w:val="22"/>
          <w:szCs w:val="22"/>
        </w:rPr>
      </w:pPr>
      <w:r w:rsidRPr="00F635C4">
        <w:rPr>
          <w:rFonts w:ascii="Arial" w:eastAsia="Arial" w:hAnsi="Arial" w:cs="Arial"/>
          <w:sz w:val="22"/>
          <w:szCs w:val="22"/>
        </w:rPr>
        <w:t>La modelación del impacto del beneficio fiscal propuesto se realiza teniendo en cuenta los siguientes parámetros y supuestos:</w:t>
      </w:r>
    </w:p>
    <w:p w14:paraId="06B4F34F" w14:textId="77777777" w:rsidR="0018473E" w:rsidRPr="00F635C4" w:rsidRDefault="00015EA5">
      <w:pPr>
        <w:jc w:val="center"/>
        <w:rPr>
          <w:rFonts w:ascii="Arial" w:eastAsia="Arial" w:hAnsi="Arial" w:cs="Arial"/>
          <w:b/>
          <w:sz w:val="22"/>
          <w:szCs w:val="22"/>
        </w:rPr>
      </w:pPr>
      <w:r w:rsidRPr="00F635C4">
        <w:rPr>
          <w:rFonts w:ascii="Arial" w:eastAsia="Arial" w:hAnsi="Arial" w:cs="Arial"/>
          <w:b/>
          <w:sz w:val="22"/>
          <w:szCs w:val="22"/>
        </w:rPr>
        <w:t>Tabla 5. Parámetros de la modelación</w:t>
      </w:r>
    </w:p>
    <w:p w14:paraId="66E6D3E8" w14:textId="77777777" w:rsidR="0018473E" w:rsidRPr="00F635C4" w:rsidRDefault="0018473E">
      <w:pPr>
        <w:jc w:val="center"/>
        <w:rPr>
          <w:rFonts w:ascii="Arial" w:eastAsia="Arial" w:hAnsi="Arial" w:cs="Arial"/>
          <w:b/>
          <w:sz w:val="22"/>
          <w:szCs w:val="22"/>
        </w:rPr>
      </w:pPr>
    </w:p>
    <w:p w14:paraId="405C514E" w14:textId="77777777" w:rsidR="0018473E" w:rsidRPr="00F635C4" w:rsidRDefault="0018473E">
      <w:pPr>
        <w:jc w:val="center"/>
        <w:rPr>
          <w:rFonts w:ascii="Arial" w:eastAsia="Arial" w:hAnsi="Arial" w:cs="Arial"/>
          <w:sz w:val="22"/>
          <w:szCs w:val="22"/>
        </w:rPr>
      </w:pPr>
    </w:p>
    <w:p w14:paraId="30A7FEE5" w14:textId="77777777" w:rsidR="0018473E" w:rsidRPr="00F635C4" w:rsidRDefault="00015EA5">
      <w:pPr>
        <w:jc w:val="center"/>
        <w:rPr>
          <w:rFonts w:ascii="Arial" w:eastAsia="Arial" w:hAnsi="Arial" w:cs="Arial"/>
          <w:sz w:val="22"/>
          <w:szCs w:val="22"/>
        </w:rPr>
      </w:pPr>
      <w:r w:rsidRPr="00F635C4">
        <w:rPr>
          <w:rFonts w:ascii="Arial" w:eastAsia="Arial" w:hAnsi="Arial" w:cs="Arial"/>
          <w:noProof/>
          <w:sz w:val="22"/>
          <w:szCs w:val="22"/>
        </w:rPr>
        <w:drawing>
          <wp:inline distT="0" distB="0" distL="0" distR="0" wp14:anchorId="1D281458" wp14:editId="25A12FFD">
            <wp:extent cx="2847255" cy="2171822"/>
            <wp:effectExtent l="0" t="0" r="0" b="0"/>
            <wp:docPr id="1987837084" name="image4.png" descr="Text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0" name="image4.png" descr="Texto&#10;&#10;El contenido generado por IA puede ser incorrecto."/>
                    <pic:cNvPicPr preferRelativeResize="0"/>
                  </pic:nvPicPr>
                  <pic:blipFill>
                    <a:blip r:embed="rId18"/>
                    <a:srcRect/>
                    <a:stretch>
                      <a:fillRect/>
                    </a:stretch>
                  </pic:blipFill>
                  <pic:spPr>
                    <a:xfrm>
                      <a:off x="0" y="0"/>
                      <a:ext cx="2847255" cy="2171822"/>
                    </a:xfrm>
                    <a:prstGeom prst="rect">
                      <a:avLst/>
                    </a:prstGeom>
                    <a:ln/>
                  </pic:spPr>
                </pic:pic>
              </a:graphicData>
            </a:graphic>
          </wp:inline>
        </w:drawing>
      </w:r>
      <w:r w:rsidRPr="00F635C4">
        <w:rPr>
          <w:rFonts w:ascii="Arial" w:eastAsia="Arial" w:hAnsi="Arial" w:cs="Arial"/>
          <w:noProof/>
          <w:sz w:val="22"/>
          <w:szCs w:val="22"/>
        </w:rPr>
        <w:drawing>
          <wp:inline distT="0" distB="0" distL="0" distR="0" wp14:anchorId="33BAC358" wp14:editId="1EE4D6EB">
            <wp:extent cx="2882434" cy="598469"/>
            <wp:effectExtent l="0" t="0" r="0" b="0"/>
            <wp:docPr id="1987837087" name="image1.png" descr="Interfaz de usuario gráfica, Texto, Aplicación&#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0" name="image1.png" descr="Interfaz de usuario gráfica, Texto, Aplicación&#10;&#10;El contenido generado por IA puede ser incorrecto."/>
                    <pic:cNvPicPr preferRelativeResize="0"/>
                  </pic:nvPicPr>
                  <pic:blipFill>
                    <a:blip r:embed="rId19"/>
                    <a:srcRect/>
                    <a:stretch>
                      <a:fillRect/>
                    </a:stretch>
                  </pic:blipFill>
                  <pic:spPr>
                    <a:xfrm>
                      <a:off x="0" y="0"/>
                      <a:ext cx="2882434" cy="598469"/>
                    </a:xfrm>
                    <a:prstGeom prst="rect">
                      <a:avLst/>
                    </a:prstGeom>
                    <a:ln/>
                  </pic:spPr>
                </pic:pic>
              </a:graphicData>
            </a:graphic>
          </wp:inline>
        </w:drawing>
      </w:r>
    </w:p>
    <w:p w14:paraId="37EA5DB3" w14:textId="77777777" w:rsidR="0018473E" w:rsidRPr="00F635C4" w:rsidRDefault="00015EA5">
      <w:pPr>
        <w:jc w:val="center"/>
        <w:rPr>
          <w:rFonts w:ascii="Arial" w:eastAsia="Arial" w:hAnsi="Arial" w:cs="Arial"/>
          <w:sz w:val="18"/>
          <w:szCs w:val="18"/>
        </w:rPr>
      </w:pPr>
      <w:r w:rsidRPr="00F635C4">
        <w:rPr>
          <w:rFonts w:ascii="Arial" w:eastAsia="Arial" w:hAnsi="Arial" w:cs="Arial"/>
          <w:sz w:val="18"/>
          <w:szCs w:val="18"/>
        </w:rPr>
        <w:t>Fuente: Camacol Bogotá y Cundinamarca</w:t>
      </w:r>
    </w:p>
    <w:p w14:paraId="351972F2" w14:textId="77777777" w:rsidR="0018473E" w:rsidRPr="00F635C4" w:rsidRDefault="0018473E">
      <w:pPr>
        <w:jc w:val="both"/>
        <w:rPr>
          <w:rFonts w:ascii="Arial" w:eastAsia="Arial" w:hAnsi="Arial" w:cs="Arial"/>
          <w:sz w:val="22"/>
          <w:szCs w:val="22"/>
        </w:rPr>
      </w:pPr>
    </w:p>
    <w:p w14:paraId="2C5B7C5E" w14:textId="77777777" w:rsidR="0018473E" w:rsidRPr="00F635C4" w:rsidRDefault="0018473E">
      <w:pPr>
        <w:jc w:val="both"/>
        <w:rPr>
          <w:rFonts w:ascii="Arial" w:eastAsia="Arial" w:hAnsi="Arial" w:cs="Arial"/>
          <w:b/>
          <w:sz w:val="22"/>
          <w:szCs w:val="22"/>
        </w:rPr>
      </w:pPr>
    </w:p>
    <w:p w14:paraId="4CBEDC71" w14:textId="72DF3A18"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2.1.3.2. RESULTADOS</w:t>
      </w:r>
      <w:r w:rsidR="00174080" w:rsidRPr="00F635C4">
        <w:rPr>
          <w:rFonts w:ascii="Arial" w:eastAsia="Arial" w:hAnsi="Arial" w:cs="Arial"/>
          <w:b/>
          <w:sz w:val="22"/>
          <w:szCs w:val="22"/>
        </w:rPr>
        <w:t xml:space="preserve"> DEL ANÁLISIS ELABORADO POR LA AUTORA</w:t>
      </w:r>
    </w:p>
    <w:p w14:paraId="511BC107" w14:textId="77777777" w:rsidR="0018473E" w:rsidRPr="00F635C4" w:rsidRDefault="0018473E">
      <w:pPr>
        <w:jc w:val="both"/>
        <w:rPr>
          <w:rFonts w:ascii="Arial" w:eastAsia="Arial" w:hAnsi="Arial" w:cs="Arial"/>
          <w:sz w:val="22"/>
          <w:szCs w:val="22"/>
        </w:rPr>
      </w:pPr>
    </w:p>
    <w:p w14:paraId="45FA2DA3" w14:textId="1C657718" w:rsidR="0018473E" w:rsidRPr="00F635C4" w:rsidRDefault="00015EA5">
      <w:pPr>
        <w:jc w:val="both"/>
        <w:rPr>
          <w:rFonts w:ascii="Arial" w:eastAsia="Arial" w:hAnsi="Arial" w:cs="Arial"/>
          <w:sz w:val="22"/>
          <w:szCs w:val="22"/>
        </w:rPr>
      </w:pPr>
      <w:r w:rsidRPr="00F635C4">
        <w:rPr>
          <w:rFonts w:ascii="Arial" w:eastAsia="Arial" w:hAnsi="Arial" w:cs="Arial"/>
          <w:sz w:val="22"/>
          <w:szCs w:val="22"/>
        </w:rPr>
        <w:t>La</w:t>
      </w:r>
      <w:r w:rsidR="001D1616" w:rsidRPr="00F635C4">
        <w:rPr>
          <w:rFonts w:ascii="Arial" w:eastAsia="Arial" w:hAnsi="Arial" w:cs="Arial"/>
          <w:sz w:val="22"/>
          <w:szCs w:val="22"/>
        </w:rPr>
        <w:t xml:space="preserve"> autora concluye que la tabla</w:t>
      </w:r>
      <w:r w:rsidRPr="00F635C4">
        <w:rPr>
          <w:rFonts w:ascii="Arial" w:eastAsia="Arial" w:hAnsi="Arial" w:cs="Arial"/>
          <w:sz w:val="22"/>
          <w:szCs w:val="22"/>
        </w:rPr>
        <w:t xml:space="preserve"> 2 </w:t>
      </w:r>
      <w:r w:rsidR="001D1616" w:rsidRPr="00F635C4">
        <w:rPr>
          <w:rFonts w:ascii="Arial" w:eastAsia="Arial" w:hAnsi="Arial" w:cs="Arial"/>
          <w:sz w:val="22"/>
          <w:szCs w:val="22"/>
        </w:rPr>
        <w:t>“</w:t>
      </w:r>
      <w:r w:rsidRPr="00F635C4">
        <w:rPr>
          <w:rFonts w:ascii="Arial" w:eastAsia="Arial" w:hAnsi="Arial" w:cs="Arial"/>
          <w:sz w:val="22"/>
          <w:szCs w:val="22"/>
        </w:rPr>
        <w:t>muestra la modelación del flujo de recaudo por tipo de impuesto con y sin el beneficio. El desarrollo de 30 mil viviendas en la modalidad de multifamiliares en renta especializada en Bogotá en los próximos 5 años generaría un flujo de ingresos tributarios para el Distrito de $1,72 billones durante su construcción y operación hasta el año 2039.</w:t>
      </w:r>
      <w:r w:rsidR="001D1616" w:rsidRPr="00F635C4">
        <w:rPr>
          <w:rFonts w:ascii="Arial" w:eastAsia="Arial" w:hAnsi="Arial" w:cs="Arial"/>
          <w:sz w:val="22"/>
          <w:szCs w:val="22"/>
        </w:rPr>
        <w:t>”</w:t>
      </w:r>
      <w:r w:rsidRPr="00F635C4">
        <w:rPr>
          <w:rFonts w:ascii="Arial" w:eastAsia="Arial" w:hAnsi="Arial" w:cs="Arial"/>
          <w:sz w:val="22"/>
          <w:szCs w:val="22"/>
        </w:rPr>
        <w:t xml:space="preserve"> </w:t>
      </w:r>
    </w:p>
    <w:p w14:paraId="384B64F0" w14:textId="77777777" w:rsidR="0018473E" w:rsidRPr="00F635C4" w:rsidRDefault="0018473E">
      <w:pPr>
        <w:rPr>
          <w:rFonts w:ascii="Arial" w:eastAsia="Arial" w:hAnsi="Arial" w:cs="Arial"/>
          <w:b/>
          <w:sz w:val="22"/>
          <w:szCs w:val="22"/>
        </w:rPr>
      </w:pPr>
    </w:p>
    <w:p w14:paraId="3F6C2AF2" w14:textId="77777777" w:rsidR="0018473E" w:rsidRPr="00F635C4" w:rsidRDefault="00015EA5">
      <w:pPr>
        <w:jc w:val="center"/>
        <w:rPr>
          <w:rFonts w:ascii="Arial" w:eastAsia="Arial" w:hAnsi="Arial" w:cs="Arial"/>
          <w:sz w:val="22"/>
          <w:szCs w:val="22"/>
        </w:rPr>
      </w:pPr>
      <w:r w:rsidRPr="00F635C4">
        <w:rPr>
          <w:rFonts w:ascii="Arial" w:eastAsia="Arial" w:hAnsi="Arial" w:cs="Arial"/>
          <w:b/>
          <w:sz w:val="22"/>
          <w:szCs w:val="22"/>
        </w:rPr>
        <w:t>Tabla 6. Análisis de costos y beneficios fiscales (millones de pesos)</w:t>
      </w:r>
    </w:p>
    <w:p w14:paraId="33B86500" w14:textId="77777777" w:rsidR="0018473E" w:rsidRPr="00F635C4" w:rsidRDefault="00015EA5">
      <w:pPr>
        <w:jc w:val="center"/>
        <w:rPr>
          <w:rFonts w:ascii="Arial" w:eastAsia="Arial" w:hAnsi="Arial" w:cs="Arial"/>
          <w:sz w:val="22"/>
          <w:szCs w:val="22"/>
        </w:rPr>
      </w:pPr>
      <w:r w:rsidRPr="00F635C4">
        <w:rPr>
          <w:rFonts w:ascii="Arial" w:eastAsia="Arial" w:hAnsi="Arial" w:cs="Arial"/>
          <w:noProof/>
          <w:sz w:val="22"/>
          <w:szCs w:val="22"/>
        </w:rPr>
        <w:drawing>
          <wp:inline distT="0" distB="0" distL="0" distR="0" wp14:anchorId="4C15C7F1" wp14:editId="7AA448D5">
            <wp:extent cx="4961686" cy="2554272"/>
            <wp:effectExtent l="0" t="0" r="0" b="0"/>
            <wp:docPr id="198783708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0"/>
                    <a:srcRect/>
                    <a:stretch>
                      <a:fillRect/>
                    </a:stretch>
                  </pic:blipFill>
                  <pic:spPr>
                    <a:xfrm>
                      <a:off x="0" y="0"/>
                      <a:ext cx="4961686" cy="2554272"/>
                    </a:xfrm>
                    <a:prstGeom prst="rect">
                      <a:avLst/>
                    </a:prstGeom>
                    <a:ln/>
                  </pic:spPr>
                </pic:pic>
              </a:graphicData>
            </a:graphic>
          </wp:inline>
        </w:drawing>
      </w:r>
    </w:p>
    <w:p w14:paraId="440777BB" w14:textId="77777777" w:rsidR="0018473E" w:rsidRPr="00F635C4" w:rsidRDefault="00015EA5">
      <w:pPr>
        <w:jc w:val="center"/>
        <w:rPr>
          <w:rFonts w:ascii="Arial" w:eastAsia="Arial" w:hAnsi="Arial" w:cs="Arial"/>
          <w:sz w:val="18"/>
          <w:szCs w:val="18"/>
        </w:rPr>
      </w:pPr>
      <w:r w:rsidRPr="00F635C4">
        <w:rPr>
          <w:rFonts w:ascii="Arial" w:eastAsia="Arial" w:hAnsi="Arial" w:cs="Arial"/>
          <w:sz w:val="18"/>
          <w:szCs w:val="18"/>
        </w:rPr>
        <w:t>Fuente: Estimaciones Camacol Bogotá y Cundinamarca</w:t>
      </w:r>
    </w:p>
    <w:p w14:paraId="6D892CC1" w14:textId="77777777" w:rsidR="0018473E" w:rsidRPr="00F635C4" w:rsidRDefault="0018473E">
      <w:pPr>
        <w:jc w:val="center"/>
        <w:rPr>
          <w:rFonts w:ascii="Arial" w:eastAsia="Arial" w:hAnsi="Arial" w:cs="Arial"/>
          <w:sz w:val="22"/>
          <w:szCs w:val="22"/>
        </w:rPr>
      </w:pPr>
    </w:p>
    <w:p w14:paraId="53FE8042" w14:textId="7B968817" w:rsidR="0018473E" w:rsidRPr="00F635C4" w:rsidRDefault="001D1616" w:rsidP="00C34550">
      <w:pPr>
        <w:jc w:val="both"/>
        <w:rPr>
          <w:rFonts w:ascii="Arial" w:eastAsia="Arial" w:hAnsi="Arial" w:cs="Arial"/>
          <w:sz w:val="22"/>
          <w:szCs w:val="22"/>
        </w:rPr>
      </w:pPr>
      <w:r w:rsidRPr="00F635C4">
        <w:rPr>
          <w:rFonts w:ascii="Arial" w:eastAsia="Arial" w:hAnsi="Arial" w:cs="Arial"/>
          <w:sz w:val="22"/>
          <w:szCs w:val="22"/>
        </w:rPr>
        <w:t>Para la autora, este modelo impulsa de manera significativa la generación de empleo formal tanto en la etapa de construcción como en la operación de los proyectos, activando cadenas productivas ligadas a la fabricación de materiales, el transporte, los servicios especializados y, posteriormente, a labores de administración, seguridad, mantenimiento y otros servicios complementarios. Según las estimaciones, la producción de 30.000 viviendas con vocación de arriendo especializado implicaría inversiones por $13,2 billones en la ciudad, de los cuales $7,3 billones corresponderían a la demanda de insumos en 34 subsectores encadenados, y permitiría dinamizar la creación de cerca de 94.000 empleos anuales entre directos e indirectos.</w:t>
      </w:r>
    </w:p>
    <w:p w14:paraId="473B9BEC" w14:textId="77777777" w:rsidR="00F56812" w:rsidRPr="00F635C4" w:rsidRDefault="00F56812" w:rsidP="00C34550">
      <w:pPr>
        <w:jc w:val="both"/>
        <w:rPr>
          <w:rFonts w:ascii="Arial" w:eastAsia="Dosis" w:hAnsi="Arial" w:cs="Arial"/>
          <w:sz w:val="22"/>
          <w:szCs w:val="22"/>
        </w:rPr>
      </w:pPr>
    </w:p>
    <w:p w14:paraId="658B5963" w14:textId="77777777"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2.3. SUPERACIÓN DE INEQUIDADES TERRITORIALES A PARTIR DE LA PROMOCIÓN DE LA OFERTA DE VIVIENDA SOCIAL FORMAL</w:t>
      </w:r>
    </w:p>
    <w:p w14:paraId="2DF11D02" w14:textId="77777777" w:rsidR="0018473E" w:rsidRPr="00F635C4" w:rsidRDefault="0018473E">
      <w:pPr>
        <w:rPr>
          <w:rFonts w:ascii="Arial" w:eastAsia="Arial" w:hAnsi="Arial" w:cs="Arial"/>
          <w:b/>
          <w:sz w:val="22"/>
          <w:szCs w:val="22"/>
        </w:rPr>
      </w:pPr>
    </w:p>
    <w:p w14:paraId="15F29ABD" w14:textId="77777777"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2.3.1. DIAGNÓSTICO</w:t>
      </w:r>
    </w:p>
    <w:p w14:paraId="1727034E" w14:textId="77777777" w:rsidR="0018473E" w:rsidRPr="00F635C4" w:rsidRDefault="0018473E">
      <w:pPr>
        <w:jc w:val="both"/>
        <w:rPr>
          <w:rFonts w:ascii="Arial" w:eastAsia="Arial" w:hAnsi="Arial" w:cs="Arial"/>
          <w:sz w:val="22"/>
          <w:szCs w:val="22"/>
        </w:rPr>
      </w:pPr>
    </w:p>
    <w:p w14:paraId="4EB6751E" w14:textId="46305777" w:rsidR="0018473E" w:rsidRPr="00F635C4" w:rsidRDefault="001D1616" w:rsidP="00A30C0B">
      <w:pPr>
        <w:jc w:val="both"/>
        <w:rPr>
          <w:rFonts w:ascii="Arial" w:eastAsia="Arial" w:hAnsi="Arial" w:cs="Arial"/>
          <w:sz w:val="22"/>
          <w:szCs w:val="22"/>
        </w:rPr>
      </w:pPr>
      <w:r w:rsidRPr="00F635C4">
        <w:rPr>
          <w:rFonts w:ascii="Arial" w:eastAsia="Arial" w:hAnsi="Arial" w:cs="Arial"/>
          <w:sz w:val="22"/>
          <w:szCs w:val="22"/>
        </w:rPr>
        <w:t>Para la autora, el diagnóstico muestra que Bogotá enfrenta un desequilibrio crítico entre la oferta y la demanda de vivienda para la década 2025-2034: se proyecta la creación de 75.000 nuevos hogares al año, llevando el total urbano a 3,8 millones, en un contexto donde ya existen 20.000 hogares sin vivienda y 276.000 en hacinamiento mitigable. El principal reto es la capacidad de pago, pues el 77 % de los hogares gana menos de cuatro salarios mínimos, de modo que tres de cada cuatro nuevas familias necesitarán vivienda social, mientras que el ritmo actual de construcción, con un promedio de 25.344 viviendas sociales anuales entre 2021 y 2024, resulta claramente insuficiente frente a la magnitud de la demanda.</w:t>
      </w:r>
      <w:r w:rsidR="00A30C0B" w:rsidRPr="00F635C4">
        <w:rPr>
          <w:rFonts w:ascii="Arial" w:eastAsia="Arial" w:hAnsi="Arial" w:cs="Arial"/>
          <w:sz w:val="22"/>
          <w:szCs w:val="22"/>
        </w:rPr>
        <w:t xml:space="preserve"> </w:t>
      </w:r>
      <w:r w:rsidR="00015EA5" w:rsidRPr="00F635C4">
        <w:rPr>
          <w:rFonts w:ascii="Arial" w:eastAsia="Arial" w:hAnsi="Arial" w:cs="Arial"/>
          <w:sz w:val="22"/>
          <w:szCs w:val="22"/>
        </w:rPr>
        <w:t>(Gráfico 5)</w:t>
      </w:r>
    </w:p>
    <w:p w14:paraId="48B7D910" w14:textId="77777777" w:rsidR="0018473E" w:rsidRPr="00F635C4" w:rsidRDefault="0018473E">
      <w:pPr>
        <w:jc w:val="both"/>
        <w:rPr>
          <w:rFonts w:ascii="Arial" w:eastAsia="Arial" w:hAnsi="Arial" w:cs="Arial"/>
          <w:sz w:val="22"/>
          <w:szCs w:val="22"/>
        </w:rPr>
      </w:pPr>
    </w:p>
    <w:p w14:paraId="500F1A7F" w14:textId="77777777" w:rsidR="0018473E" w:rsidRPr="00F635C4" w:rsidRDefault="00015EA5">
      <w:pPr>
        <w:jc w:val="center"/>
        <w:rPr>
          <w:rFonts w:ascii="Arial" w:eastAsia="Arial" w:hAnsi="Arial" w:cs="Arial"/>
          <w:b/>
          <w:sz w:val="22"/>
          <w:szCs w:val="22"/>
        </w:rPr>
      </w:pPr>
      <w:r w:rsidRPr="00F635C4">
        <w:rPr>
          <w:rFonts w:ascii="Arial" w:eastAsia="Arial" w:hAnsi="Arial" w:cs="Arial"/>
          <w:b/>
          <w:sz w:val="22"/>
          <w:szCs w:val="22"/>
        </w:rPr>
        <w:t>Gráfico 5. Formación de hogares y producción de vivienda social</w:t>
      </w:r>
    </w:p>
    <w:p w14:paraId="6E785240" w14:textId="77777777" w:rsidR="0018473E" w:rsidRPr="00F635C4" w:rsidRDefault="0018473E">
      <w:pPr>
        <w:jc w:val="center"/>
        <w:rPr>
          <w:rFonts w:ascii="Arial" w:eastAsia="Arial" w:hAnsi="Arial" w:cs="Arial"/>
          <w:b/>
          <w:sz w:val="22"/>
          <w:szCs w:val="22"/>
        </w:rPr>
        <w:sectPr w:rsidR="0018473E" w:rsidRPr="00F635C4">
          <w:headerReference w:type="default" r:id="rId21"/>
          <w:footerReference w:type="default" r:id="rId22"/>
          <w:pgSz w:w="12240" w:h="15840"/>
          <w:pgMar w:top="1440" w:right="1080" w:bottom="1440" w:left="1080" w:header="708" w:footer="708" w:gutter="0"/>
          <w:pgNumType w:start="1"/>
          <w:cols w:space="720"/>
        </w:sectPr>
      </w:pPr>
    </w:p>
    <w:p w14:paraId="18F85278" w14:textId="77777777" w:rsidR="0018473E" w:rsidRPr="00F635C4" w:rsidRDefault="00015EA5">
      <w:pPr>
        <w:jc w:val="center"/>
        <w:rPr>
          <w:rFonts w:ascii="Arial" w:eastAsia="Arial" w:hAnsi="Arial" w:cs="Arial"/>
          <w:i/>
          <w:sz w:val="22"/>
          <w:szCs w:val="22"/>
        </w:rPr>
      </w:pPr>
      <w:r w:rsidRPr="00F635C4">
        <w:rPr>
          <w:rFonts w:ascii="Arial" w:eastAsia="Arial" w:hAnsi="Arial" w:cs="Arial"/>
          <w:i/>
          <w:sz w:val="22"/>
          <w:szCs w:val="22"/>
        </w:rPr>
        <w:t>Panel 1. Número de hogares en Bogotá 2025 -2034 (Cifras en miles)</w:t>
      </w:r>
    </w:p>
    <w:p w14:paraId="09808AC2" w14:textId="77777777" w:rsidR="0018473E" w:rsidRPr="00F635C4" w:rsidRDefault="00015EA5">
      <w:pPr>
        <w:rPr>
          <w:rFonts w:ascii="Arial" w:eastAsia="Arial" w:hAnsi="Arial" w:cs="Arial"/>
          <w:sz w:val="22"/>
          <w:szCs w:val="22"/>
        </w:rPr>
      </w:pPr>
      <w:r w:rsidRPr="00F635C4">
        <w:rPr>
          <w:rFonts w:ascii="Arial" w:eastAsia="Arial" w:hAnsi="Arial" w:cs="Arial"/>
          <w:noProof/>
          <w:sz w:val="22"/>
          <w:szCs w:val="22"/>
        </w:rPr>
        <w:drawing>
          <wp:inline distT="0" distB="0" distL="0" distR="0" wp14:anchorId="0B8AFCE2" wp14:editId="6E1413FC">
            <wp:extent cx="3051544" cy="2179054"/>
            <wp:effectExtent l="0" t="0" r="0" b="0"/>
            <wp:docPr id="1987837081" name="Gráfico 198783708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357DAB1" w14:textId="77777777" w:rsidR="0018473E" w:rsidRPr="00F635C4" w:rsidRDefault="00015EA5">
      <w:pPr>
        <w:jc w:val="center"/>
        <w:rPr>
          <w:rFonts w:ascii="Arial" w:eastAsia="Arial" w:hAnsi="Arial" w:cs="Arial"/>
          <w:i/>
          <w:sz w:val="22"/>
          <w:szCs w:val="22"/>
        </w:rPr>
      </w:pPr>
      <w:r w:rsidRPr="00F635C4">
        <w:rPr>
          <w:rFonts w:ascii="Arial" w:eastAsia="Arial" w:hAnsi="Arial" w:cs="Arial"/>
          <w:i/>
          <w:sz w:val="22"/>
          <w:szCs w:val="22"/>
        </w:rPr>
        <w:t>Panel 2. Viviendas de interés social iniciadas 2016-2024</w:t>
      </w:r>
    </w:p>
    <w:p w14:paraId="7C6D8433" w14:textId="77777777" w:rsidR="0018473E" w:rsidRPr="00F635C4" w:rsidRDefault="00015EA5">
      <w:pPr>
        <w:ind w:left="-142"/>
        <w:rPr>
          <w:rFonts w:ascii="Arial" w:eastAsia="Arial" w:hAnsi="Arial" w:cs="Arial"/>
          <w:sz w:val="22"/>
          <w:szCs w:val="22"/>
        </w:rPr>
        <w:sectPr w:rsidR="0018473E" w:rsidRPr="00F635C4">
          <w:type w:val="continuous"/>
          <w:pgSz w:w="12240" w:h="15840"/>
          <w:pgMar w:top="1440" w:right="1080" w:bottom="1440" w:left="1080" w:header="708" w:footer="708" w:gutter="0"/>
          <w:pgNumType w:start="1"/>
          <w:cols w:num="2" w:space="720" w:equalWidth="0">
            <w:col w:w="4680" w:space="720"/>
            <w:col w:w="4680" w:space="0"/>
          </w:cols>
        </w:sectPr>
      </w:pPr>
      <w:r w:rsidRPr="00F635C4">
        <w:rPr>
          <w:rFonts w:ascii="Arial" w:eastAsia="Arial" w:hAnsi="Arial" w:cs="Arial"/>
          <w:noProof/>
          <w:sz w:val="22"/>
          <w:szCs w:val="22"/>
        </w:rPr>
        <w:drawing>
          <wp:inline distT="0" distB="0" distL="0" distR="0" wp14:anchorId="134F98FF" wp14:editId="6FAD1838">
            <wp:extent cx="3051544" cy="2327910"/>
            <wp:effectExtent l="0" t="0" r="0" b="0"/>
            <wp:docPr id="1987837079" name="Gráfico 198783707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107598CF" w14:textId="77777777" w:rsidR="0018473E" w:rsidRPr="00F635C4" w:rsidRDefault="00015EA5">
      <w:pPr>
        <w:jc w:val="center"/>
        <w:rPr>
          <w:rFonts w:ascii="Arial" w:eastAsia="Arial" w:hAnsi="Arial" w:cs="Arial"/>
          <w:sz w:val="18"/>
          <w:szCs w:val="18"/>
        </w:rPr>
        <w:sectPr w:rsidR="0018473E" w:rsidRPr="00F635C4">
          <w:type w:val="continuous"/>
          <w:pgSz w:w="12240" w:h="15840"/>
          <w:pgMar w:top="1440" w:right="1080" w:bottom="1440" w:left="1080" w:header="708" w:footer="708" w:gutter="0"/>
          <w:pgNumType w:start="1"/>
          <w:cols w:space="720"/>
        </w:sectPr>
      </w:pPr>
      <w:r w:rsidRPr="00F635C4">
        <w:rPr>
          <w:rFonts w:ascii="Arial" w:eastAsia="Arial" w:hAnsi="Arial" w:cs="Arial"/>
          <w:sz w:val="18"/>
          <w:szCs w:val="18"/>
        </w:rPr>
        <w:t>Fuente: Elaboración propia con base en la Secretaría Distrital de Planeación</w:t>
      </w:r>
    </w:p>
    <w:p w14:paraId="0A73EF7B" w14:textId="77777777" w:rsidR="0018473E" w:rsidRPr="00F635C4" w:rsidRDefault="0018473E">
      <w:pPr>
        <w:jc w:val="both"/>
        <w:rPr>
          <w:rFonts w:ascii="Arial" w:eastAsia="Arial" w:hAnsi="Arial" w:cs="Arial"/>
          <w:sz w:val="22"/>
          <w:szCs w:val="22"/>
        </w:rPr>
      </w:pPr>
    </w:p>
    <w:p w14:paraId="1CB6F097" w14:textId="105773C1" w:rsidR="0018473E" w:rsidRPr="00F635C4" w:rsidRDefault="00324460">
      <w:pPr>
        <w:jc w:val="both"/>
        <w:rPr>
          <w:rFonts w:ascii="Arial" w:eastAsia="Arial" w:hAnsi="Arial" w:cs="Arial"/>
          <w:sz w:val="22"/>
          <w:szCs w:val="22"/>
        </w:rPr>
      </w:pPr>
      <w:r w:rsidRPr="00F635C4">
        <w:rPr>
          <w:rFonts w:ascii="Arial" w:eastAsia="Arial" w:hAnsi="Arial" w:cs="Arial"/>
          <w:sz w:val="22"/>
          <w:szCs w:val="22"/>
        </w:rPr>
        <w:t>Según la autora, uno de los principales frenos a la producción de vivienda es el alto costo de construcción, en el que inciden impuestos como la delineación urbana que hoy grava la vivienda social nueva en estratos superiores a 4. Aunque el POT exige incluir VIS y VIP en suelos de renovación y consolidación, donde se proyecta el 85 % de las viviendas, permite compensar esa obligación pagando en dinero para desarrollarlas en otro lugar, lo que desincentiva la vivienda social en zonas bien ubicadas. Esto se agrava porque una parte importante de esos suelos se encuentra en estratos altos (16 % en renovación y 25 % en consolidación) y termina limitando que la VIS en estratos mayores a 4 haya representado solo el 21 % de este segmento entre 2021 y 2024.</w:t>
      </w:r>
      <w:r w:rsidR="00DD085E" w:rsidRPr="00F635C4">
        <w:rPr>
          <w:rFonts w:ascii="Arial" w:eastAsia="Arial" w:hAnsi="Arial" w:cs="Arial"/>
          <w:sz w:val="22"/>
          <w:szCs w:val="22"/>
        </w:rPr>
        <w:t xml:space="preserve"> </w:t>
      </w:r>
      <w:r w:rsidR="00015EA5" w:rsidRPr="00F635C4">
        <w:rPr>
          <w:rFonts w:ascii="Arial" w:eastAsia="Arial" w:hAnsi="Arial" w:cs="Arial"/>
          <w:sz w:val="22"/>
          <w:szCs w:val="22"/>
        </w:rPr>
        <w:t>(Gráfico 6)</w:t>
      </w:r>
    </w:p>
    <w:p w14:paraId="31389F75" w14:textId="77777777" w:rsidR="0018473E" w:rsidRPr="00F635C4" w:rsidRDefault="0018473E">
      <w:pPr>
        <w:jc w:val="both"/>
        <w:rPr>
          <w:rFonts w:ascii="Arial" w:eastAsia="Arial" w:hAnsi="Arial" w:cs="Arial"/>
          <w:i/>
          <w:sz w:val="22"/>
          <w:szCs w:val="22"/>
        </w:rPr>
      </w:pPr>
    </w:p>
    <w:p w14:paraId="644A13BC" w14:textId="77777777" w:rsidR="0018473E" w:rsidRPr="00F635C4" w:rsidRDefault="0018473E">
      <w:pPr>
        <w:jc w:val="both"/>
        <w:rPr>
          <w:rFonts w:ascii="Arial" w:eastAsia="Arial" w:hAnsi="Arial" w:cs="Arial"/>
          <w:i/>
          <w:sz w:val="22"/>
          <w:szCs w:val="22"/>
        </w:rPr>
      </w:pPr>
    </w:p>
    <w:p w14:paraId="08E3F109" w14:textId="77777777" w:rsidR="0018473E" w:rsidRPr="00F635C4" w:rsidRDefault="00015EA5">
      <w:pPr>
        <w:ind w:right="-87"/>
        <w:jc w:val="center"/>
        <w:rPr>
          <w:rFonts w:ascii="Arial" w:eastAsia="Arial" w:hAnsi="Arial" w:cs="Arial"/>
          <w:b/>
          <w:sz w:val="20"/>
          <w:szCs w:val="20"/>
        </w:rPr>
      </w:pPr>
      <w:r w:rsidRPr="00F635C4">
        <w:rPr>
          <w:rFonts w:ascii="Arial" w:eastAsia="Arial" w:hAnsi="Arial" w:cs="Arial"/>
          <w:b/>
          <w:sz w:val="20"/>
          <w:szCs w:val="20"/>
        </w:rPr>
        <w:t>Tabla 7. Proyección viviendas iniciadas por tratamiento y porcentaje de área estratos mayores a 4</w:t>
      </w:r>
    </w:p>
    <w:p w14:paraId="2BA2A2AA" w14:textId="77777777" w:rsidR="0018473E" w:rsidRPr="00F635C4" w:rsidRDefault="0018473E">
      <w:pPr>
        <w:ind w:right="-87"/>
        <w:jc w:val="center"/>
        <w:rPr>
          <w:rFonts w:ascii="Arial" w:eastAsia="Arial" w:hAnsi="Arial" w:cs="Arial"/>
          <w:b/>
          <w:sz w:val="20"/>
          <w:szCs w:val="20"/>
        </w:rPr>
      </w:pPr>
    </w:p>
    <w:tbl>
      <w:tblPr>
        <w:tblStyle w:val="a5"/>
        <w:tblW w:w="5205"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046"/>
        <w:gridCol w:w="1380"/>
        <w:gridCol w:w="1779"/>
      </w:tblGrid>
      <w:tr w:rsidR="0018473E" w:rsidRPr="00F635C4" w14:paraId="4013C98B" w14:textId="77777777">
        <w:trPr>
          <w:trHeight w:val="547"/>
          <w:jc w:val="center"/>
        </w:trPr>
        <w:tc>
          <w:tcPr>
            <w:tcW w:w="2046" w:type="dxa"/>
            <w:vAlign w:val="center"/>
          </w:tcPr>
          <w:p w14:paraId="194716AC" w14:textId="77777777" w:rsidR="0018473E" w:rsidRPr="00F635C4" w:rsidRDefault="00015EA5">
            <w:pPr>
              <w:ind w:right="-87"/>
              <w:rPr>
                <w:b/>
                <w:color w:val="000000"/>
                <w:sz w:val="20"/>
                <w:szCs w:val="20"/>
              </w:rPr>
            </w:pPr>
            <w:r w:rsidRPr="00F635C4">
              <w:rPr>
                <w:b/>
                <w:color w:val="000000"/>
                <w:sz w:val="20"/>
                <w:szCs w:val="20"/>
              </w:rPr>
              <w:t>Tratamiento Urbanístico</w:t>
            </w:r>
          </w:p>
        </w:tc>
        <w:tc>
          <w:tcPr>
            <w:tcW w:w="1380" w:type="dxa"/>
            <w:vAlign w:val="center"/>
          </w:tcPr>
          <w:p w14:paraId="573D7FD4" w14:textId="77777777" w:rsidR="0018473E" w:rsidRPr="00F635C4" w:rsidRDefault="00015EA5">
            <w:pPr>
              <w:ind w:right="-87"/>
              <w:jc w:val="center"/>
              <w:rPr>
                <w:b/>
                <w:color w:val="000000"/>
                <w:sz w:val="20"/>
                <w:szCs w:val="20"/>
              </w:rPr>
            </w:pPr>
            <w:r w:rsidRPr="00F635C4">
              <w:rPr>
                <w:b/>
                <w:color w:val="000000"/>
                <w:sz w:val="20"/>
                <w:szCs w:val="20"/>
              </w:rPr>
              <w:t>Unidades</w:t>
            </w:r>
          </w:p>
        </w:tc>
        <w:tc>
          <w:tcPr>
            <w:tcW w:w="1779" w:type="dxa"/>
            <w:vAlign w:val="center"/>
          </w:tcPr>
          <w:p w14:paraId="6D5DBC75" w14:textId="77777777" w:rsidR="0018473E" w:rsidRPr="00F635C4" w:rsidRDefault="00015EA5">
            <w:pPr>
              <w:ind w:right="-87"/>
              <w:jc w:val="center"/>
              <w:rPr>
                <w:b/>
                <w:color w:val="000000"/>
                <w:sz w:val="20"/>
                <w:szCs w:val="20"/>
              </w:rPr>
            </w:pPr>
            <w:r w:rsidRPr="00F635C4">
              <w:rPr>
                <w:b/>
                <w:color w:val="000000"/>
                <w:sz w:val="20"/>
                <w:szCs w:val="20"/>
              </w:rPr>
              <w:t>% área estratos mayores a 4</w:t>
            </w:r>
          </w:p>
        </w:tc>
      </w:tr>
      <w:tr w:rsidR="0018473E" w:rsidRPr="00F635C4" w14:paraId="7F350FE4" w14:textId="77777777">
        <w:trPr>
          <w:trHeight w:val="374"/>
          <w:jc w:val="center"/>
        </w:trPr>
        <w:tc>
          <w:tcPr>
            <w:tcW w:w="2046" w:type="dxa"/>
            <w:vAlign w:val="center"/>
          </w:tcPr>
          <w:p w14:paraId="5227A8D8" w14:textId="77777777" w:rsidR="0018473E" w:rsidRPr="00F635C4" w:rsidRDefault="00015EA5">
            <w:pPr>
              <w:ind w:right="-87"/>
              <w:rPr>
                <w:color w:val="000000"/>
                <w:sz w:val="20"/>
                <w:szCs w:val="20"/>
              </w:rPr>
            </w:pPr>
            <w:r w:rsidRPr="00F635C4">
              <w:rPr>
                <w:color w:val="000000"/>
                <w:sz w:val="20"/>
                <w:szCs w:val="20"/>
              </w:rPr>
              <w:t>Renovación</w:t>
            </w:r>
          </w:p>
        </w:tc>
        <w:tc>
          <w:tcPr>
            <w:tcW w:w="1380" w:type="dxa"/>
            <w:vAlign w:val="center"/>
          </w:tcPr>
          <w:p w14:paraId="56854E05" w14:textId="77777777" w:rsidR="0018473E" w:rsidRPr="00F635C4" w:rsidRDefault="00015EA5">
            <w:pPr>
              <w:ind w:right="-87"/>
              <w:jc w:val="center"/>
              <w:rPr>
                <w:color w:val="000000"/>
                <w:sz w:val="20"/>
                <w:szCs w:val="20"/>
              </w:rPr>
            </w:pPr>
            <w:r w:rsidRPr="00F635C4">
              <w:rPr>
                <w:color w:val="000000"/>
                <w:sz w:val="20"/>
                <w:szCs w:val="20"/>
              </w:rPr>
              <w:t>394.804</w:t>
            </w:r>
          </w:p>
        </w:tc>
        <w:tc>
          <w:tcPr>
            <w:tcW w:w="1779" w:type="dxa"/>
            <w:vAlign w:val="center"/>
          </w:tcPr>
          <w:p w14:paraId="530EF0B4" w14:textId="77777777" w:rsidR="0018473E" w:rsidRPr="00F635C4" w:rsidRDefault="00015EA5">
            <w:pPr>
              <w:ind w:right="-87"/>
              <w:jc w:val="center"/>
              <w:rPr>
                <w:color w:val="000000"/>
                <w:sz w:val="20"/>
                <w:szCs w:val="20"/>
              </w:rPr>
            </w:pPr>
            <w:r w:rsidRPr="00F635C4">
              <w:rPr>
                <w:color w:val="000000"/>
                <w:sz w:val="20"/>
                <w:szCs w:val="20"/>
              </w:rPr>
              <w:t>16%</w:t>
            </w:r>
          </w:p>
        </w:tc>
      </w:tr>
      <w:tr w:rsidR="0018473E" w:rsidRPr="00F635C4" w14:paraId="2A3D461E" w14:textId="77777777">
        <w:trPr>
          <w:trHeight w:val="374"/>
          <w:jc w:val="center"/>
        </w:trPr>
        <w:tc>
          <w:tcPr>
            <w:tcW w:w="2046" w:type="dxa"/>
            <w:vAlign w:val="center"/>
          </w:tcPr>
          <w:p w14:paraId="31AF8A40" w14:textId="77777777" w:rsidR="0018473E" w:rsidRPr="00F635C4" w:rsidRDefault="00015EA5">
            <w:pPr>
              <w:ind w:right="-87"/>
              <w:rPr>
                <w:color w:val="000000"/>
                <w:sz w:val="20"/>
                <w:szCs w:val="20"/>
              </w:rPr>
            </w:pPr>
            <w:r w:rsidRPr="00F635C4">
              <w:rPr>
                <w:color w:val="000000"/>
                <w:sz w:val="20"/>
                <w:szCs w:val="20"/>
              </w:rPr>
              <w:t>Consolidación</w:t>
            </w:r>
          </w:p>
        </w:tc>
        <w:tc>
          <w:tcPr>
            <w:tcW w:w="1380" w:type="dxa"/>
            <w:vAlign w:val="center"/>
          </w:tcPr>
          <w:p w14:paraId="36578CCC" w14:textId="77777777" w:rsidR="0018473E" w:rsidRPr="00F635C4" w:rsidRDefault="00015EA5">
            <w:pPr>
              <w:ind w:right="-87"/>
              <w:jc w:val="center"/>
              <w:rPr>
                <w:color w:val="000000"/>
                <w:sz w:val="20"/>
                <w:szCs w:val="20"/>
              </w:rPr>
            </w:pPr>
            <w:r w:rsidRPr="00F635C4">
              <w:rPr>
                <w:color w:val="000000"/>
                <w:sz w:val="20"/>
                <w:szCs w:val="20"/>
              </w:rPr>
              <w:t>233.348</w:t>
            </w:r>
          </w:p>
        </w:tc>
        <w:tc>
          <w:tcPr>
            <w:tcW w:w="1779" w:type="dxa"/>
            <w:vAlign w:val="center"/>
          </w:tcPr>
          <w:p w14:paraId="57C135E4" w14:textId="77777777" w:rsidR="0018473E" w:rsidRPr="00F635C4" w:rsidRDefault="00015EA5">
            <w:pPr>
              <w:ind w:right="-87"/>
              <w:jc w:val="center"/>
              <w:rPr>
                <w:color w:val="000000"/>
                <w:sz w:val="20"/>
                <w:szCs w:val="20"/>
              </w:rPr>
            </w:pPr>
            <w:r w:rsidRPr="00F635C4">
              <w:rPr>
                <w:color w:val="000000"/>
                <w:sz w:val="20"/>
                <w:szCs w:val="20"/>
              </w:rPr>
              <w:t>25%</w:t>
            </w:r>
          </w:p>
        </w:tc>
      </w:tr>
      <w:tr w:rsidR="0018473E" w:rsidRPr="00F635C4" w14:paraId="7E070884" w14:textId="77777777">
        <w:trPr>
          <w:trHeight w:val="374"/>
          <w:jc w:val="center"/>
        </w:trPr>
        <w:tc>
          <w:tcPr>
            <w:tcW w:w="2046" w:type="dxa"/>
            <w:vAlign w:val="center"/>
          </w:tcPr>
          <w:p w14:paraId="0BB7C205" w14:textId="77777777" w:rsidR="0018473E" w:rsidRPr="00F635C4" w:rsidRDefault="00015EA5">
            <w:pPr>
              <w:ind w:right="-87"/>
              <w:rPr>
                <w:color w:val="000000"/>
                <w:sz w:val="20"/>
                <w:szCs w:val="20"/>
              </w:rPr>
            </w:pPr>
            <w:r w:rsidRPr="00F635C4">
              <w:rPr>
                <w:color w:val="000000"/>
                <w:sz w:val="20"/>
                <w:szCs w:val="20"/>
              </w:rPr>
              <w:t>Desarrollo</w:t>
            </w:r>
          </w:p>
        </w:tc>
        <w:tc>
          <w:tcPr>
            <w:tcW w:w="1380" w:type="dxa"/>
            <w:vAlign w:val="center"/>
          </w:tcPr>
          <w:p w14:paraId="239AFA7B" w14:textId="77777777" w:rsidR="0018473E" w:rsidRPr="00F635C4" w:rsidRDefault="00015EA5">
            <w:pPr>
              <w:ind w:right="-87"/>
              <w:jc w:val="center"/>
              <w:rPr>
                <w:color w:val="000000"/>
                <w:sz w:val="20"/>
                <w:szCs w:val="20"/>
              </w:rPr>
            </w:pPr>
            <w:r w:rsidRPr="00F635C4">
              <w:rPr>
                <w:color w:val="000000"/>
                <w:sz w:val="20"/>
                <w:szCs w:val="20"/>
              </w:rPr>
              <w:t>97.747</w:t>
            </w:r>
          </w:p>
        </w:tc>
        <w:tc>
          <w:tcPr>
            <w:tcW w:w="1779" w:type="dxa"/>
            <w:vAlign w:val="center"/>
          </w:tcPr>
          <w:p w14:paraId="0B881129" w14:textId="77777777" w:rsidR="0018473E" w:rsidRPr="00F635C4" w:rsidRDefault="00015EA5">
            <w:pPr>
              <w:ind w:right="-87"/>
              <w:jc w:val="center"/>
              <w:rPr>
                <w:color w:val="000000"/>
                <w:sz w:val="20"/>
                <w:szCs w:val="20"/>
              </w:rPr>
            </w:pPr>
            <w:r w:rsidRPr="00F635C4">
              <w:rPr>
                <w:color w:val="000000"/>
                <w:sz w:val="20"/>
                <w:szCs w:val="20"/>
              </w:rPr>
              <w:t>7%</w:t>
            </w:r>
          </w:p>
        </w:tc>
      </w:tr>
      <w:tr w:rsidR="0018473E" w:rsidRPr="00F635C4" w14:paraId="30FF1FB3" w14:textId="77777777">
        <w:trPr>
          <w:trHeight w:val="425"/>
          <w:jc w:val="center"/>
        </w:trPr>
        <w:tc>
          <w:tcPr>
            <w:tcW w:w="2046" w:type="dxa"/>
            <w:vAlign w:val="center"/>
          </w:tcPr>
          <w:p w14:paraId="6EDE99C0" w14:textId="77777777" w:rsidR="0018473E" w:rsidRPr="00F635C4" w:rsidRDefault="00015EA5">
            <w:pPr>
              <w:ind w:right="-87"/>
              <w:rPr>
                <w:color w:val="000000"/>
                <w:sz w:val="20"/>
                <w:szCs w:val="20"/>
              </w:rPr>
            </w:pPr>
            <w:r w:rsidRPr="00F635C4">
              <w:rPr>
                <w:color w:val="000000"/>
                <w:sz w:val="20"/>
                <w:szCs w:val="20"/>
              </w:rPr>
              <w:t xml:space="preserve">Mejoramiento </w:t>
            </w:r>
          </w:p>
        </w:tc>
        <w:tc>
          <w:tcPr>
            <w:tcW w:w="1380" w:type="dxa"/>
            <w:vAlign w:val="center"/>
          </w:tcPr>
          <w:p w14:paraId="6CBD46DE" w14:textId="77777777" w:rsidR="0018473E" w:rsidRPr="00F635C4" w:rsidRDefault="00015EA5">
            <w:pPr>
              <w:ind w:right="-87"/>
              <w:jc w:val="center"/>
              <w:rPr>
                <w:color w:val="000000"/>
                <w:sz w:val="20"/>
                <w:szCs w:val="20"/>
              </w:rPr>
            </w:pPr>
            <w:r w:rsidRPr="00F635C4">
              <w:rPr>
                <w:color w:val="000000"/>
                <w:sz w:val="20"/>
                <w:szCs w:val="20"/>
              </w:rPr>
              <w:t>51.991</w:t>
            </w:r>
          </w:p>
        </w:tc>
        <w:tc>
          <w:tcPr>
            <w:tcW w:w="1779" w:type="dxa"/>
            <w:vAlign w:val="center"/>
          </w:tcPr>
          <w:p w14:paraId="3454B70C" w14:textId="77777777" w:rsidR="0018473E" w:rsidRPr="00F635C4" w:rsidRDefault="00015EA5">
            <w:pPr>
              <w:ind w:right="-87"/>
              <w:jc w:val="center"/>
              <w:rPr>
                <w:color w:val="000000"/>
                <w:sz w:val="20"/>
                <w:szCs w:val="20"/>
              </w:rPr>
            </w:pPr>
            <w:r w:rsidRPr="00F635C4">
              <w:rPr>
                <w:color w:val="000000"/>
                <w:sz w:val="20"/>
                <w:szCs w:val="20"/>
              </w:rPr>
              <w:t>0%</w:t>
            </w:r>
          </w:p>
        </w:tc>
      </w:tr>
      <w:tr w:rsidR="0018473E" w:rsidRPr="00F635C4" w14:paraId="4A491AF4" w14:textId="77777777">
        <w:trPr>
          <w:trHeight w:val="374"/>
          <w:jc w:val="center"/>
        </w:trPr>
        <w:tc>
          <w:tcPr>
            <w:tcW w:w="2046" w:type="dxa"/>
            <w:vAlign w:val="center"/>
          </w:tcPr>
          <w:p w14:paraId="466FF5C9" w14:textId="77777777" w:rsidR="0018473E" w:rsidRPr="00F635C4" w:rsidRDefault="00015EA5">
            <w:pPr>
              <w:ind w:right="-87"/>
              <w:rPr>
                <w:color w:val="000000"/>
                <w:sz w:val="20"/>
                <w:szCs w:val="20"/>
              </w:rPr>
            </w:pPr>
            <w:r w:rsidRPr="00F635C4">
              <w:rPr>
                <w:color w:val="000000"/>
                <w:sz w:val="20"/>
                <w:szCs w:val="20"/>
              </w:rPr>
              <w:t>Conservación</w:t>
            </w:r>
          </w:p>
        </w:tc>
        <w:tc>
          <w:tcPr>
            <w:tcW w:w="1380" w:type="dxa"/>
            <w:vAlign w:val="center"/>
          </w:tcPr>
          <w:p w14:paraId="5034FF1A" w14:textId="77777777" w:rsidR="0018473E" w:rsidRPr="00F635C4" w:rsidRDefault="00015EA5">
            <w:pPr>
              <w:ind w:right="-87"/>
              <w:jc w:val="center"/>
              <w:rPr>
                <w:color w:val="000000"/>
                <w:sz w:val="20"/>
                <w:szCs w:val="20"/>
              </w:rPr>
            </w:pPr>
            <w:r w:rsidRPr="00F635C4">
              <w:rPr>
                <w:color w:val="000000"/>
                <w:sz w:val="20"/>
                <w:szCs w:val="20"/>
              </w:rPr>
              <w:t>4.004</w:t>
            </w:r>
          </w:p>
        </w:tc>
        <w:tc>
          <w:tcPr>
            <w:tcW w:w="1779" w:type="dxa"/>
            <w:vAlign w:val="center"/>
          </w:tcPr>
          <w:p w14:paraId="1C2B758B" w14:textId="77777777" w:rsidR="0018473E" w:rsidRPr="00F635C4" w:rsidRDefault="00015EA5">
            <w:pPr>
              <w:ind w:right="-87"/>
              <w:jc w:val="center"/>
              <w:rPr>
                <w:color w:val="000000"/>
                <w:sz w:val="20"/>
                <w:szCs w:val="20"/>
              </w:rPr>
            </w:pPr>
            <w:r w:rsidRPr="00F635C4">
              <w:rPr>
                <w:color w:val="000000"/>
                <w:sz w:val="20"/>
                <w:szCs w:val="20"/>
              </w:rPr>
              <w:t>28%</w:t>
            </w:r>
          </w:p>
        </w:tc>
      </w:tr>
      <w:tr w:rsidR="0018473E" w:rsidRPr="00F635C4" w14:paraId="52FD9969" w14:textId="77777777">
        <w:trPr>
          <w:trHeight w:val="374"/>
          <w:jc w:val="center"/>
        </w:trPr>
        <w:tc>
          <w:tcPr>
            <w:tcW w:w="2046" w:type="dxa"/>
            <w:vAlign w:val="center"/>
          </w:tcPr>
          <w:p w14:paraId="719BEB17" w14:textId="77777777" w:rsidR="0018473E" w:rsidRPr="00F635C4" w:rsidRDefault="00015EA5">
            <w:pPr>
              <w:ind w:right="-87"/>
              <w:rPr>
                <w:b/>
                <w:color w:val="000000"/>
                <w:sz w:val="20"/>
                <w:szCs w:val="20"/>
              </w:rPr>
            </w:pPr>
            <w:r w:rsidRPr="00F635C4">
              <w:rPr>
                <w:b/>
                <w:color w:val="000000"/>
                <w:sz w:val="20"/>
                <w:szCs w:val="20"/>
              </w:rPr>
              <w:t>Total</w:t>
            </w:r>
          </w:p>
        </w:tc>
        <w:tc>
          <w:tcPr>
            <w:tcW w:w="1380" w:type="dxa"/>
            <w:vAlign w:val="center"/>
          </w:tcPr>
          <w:p w14:paraId="0596B324" w14:textId="77777777" w:rsidR="0018473E" w:rsidRPr="00F635C4" w:rsidRDefault="00015EA5">
            <w:pPr>
              <w:ind w:right="-87"/>
              <w:jc w:val="center"/>
              <w:rPr>
                <w:b/>
                <w:color w:val="000000"/>
                <w:sz w:val="20"/>
                <w:szCs w:val="20"/>
              </w:rPr>
            </w:pPr>
            <w:r w:rsidRPr="00F635C4">
              <w:rPr>
                <w:b/>
                <w:color w:val="000000"/>
                <w:sz w:val="20"/>
                <w:szCs w:val="20"/>
              </w:rPr>
              <w:t>781.899</w:t>
            </w:r>
          </w:p>
        </w:tc>
        <w:tc>
          <w:tcPr>
            <w:tcW w:w="1779" w:type="dxa"/>
            <w:vAlign w:val="center"/>
          </w:tcPr>
          <w:p w14:paraId="01632135" w14:textId="77777777" w:rsidR="0018473E" w:rsidRPr="00F635C4" w:rsidRDefault="0018473E">
            <w:pPr>
              <w:ind w:right="-87"/>
              <w:jc w:val="center"/>
              <w:rPr>
                <w:b/>
                <w:color w:val="000000"/>
                <w:sz w:val="20"/>
                <w:szCs w:val="20"/>
              </w:rPr>
            </w:pPr>
          </w:p>
        </w:tc>
      </w:tr>
    </w:tbl>
    <w:p w14:paraId="65F342F6" w14:textId="77777777" w:rsidR="0018473E" w:rsidRPr="00F635C4" w:rsidRDefault="0018473E">
      <w:pPr>
        <w:ind w:right="-87"/>
        <w:jc w:val="both"/>
        <w:rPr>
          <w:rFonts w:ascii="Arial" w:eastAsia="Arial" w:hAnsi="Arial" w:cs="Arial"/>
          <w:b/>
          <w:sz w:val="22"/>
          <w:szCs w:val="22"/>
        </w:rPr>
      </w:pPr>
    </w:p>
    <w:p w14:paraId="405CB94C" w14:textId="77777777" w:rsidR="0018473E" w:rsidRPr="00F635C4" w:rsidRDefault="0018473E">
      <w:pPr>
        <w:jc w:val="both"/>
        <w:rPr>
          <w:rFonts w:ascii="Arial" w:eastAsia="Arial" w:hAnsi="Arial" w:cs="Arial"/>
          <w:b/>
          <w:sz w:val="22"/>
          <w:szCs w:val="22"/>
        </w:rPr>
        <w:sectPr w:rsidR="0018473E" w:rsidRPr="00F635C4">
          <w:type w:val="continuous"/>
          <w:pgSz w:w="12240" w:h="15840"/>
          <w:pgMar w:top="1440" w:right="1080" w:bottom="1440" w:left="1080" w:header="708" w:footer="708" w:gutter="0"/>
          <w:pgNumType w:start="1"/>
          <w:cols w:space="720"/>
        </w:sectPr>
      </w:pPr>
    </w:p>
    <w:p w14:paraId="403D81F5" w14:textId="77777777" w:rsidR="0018473E" w:rsidRPr="00F635C4" w:rsidRDefault="0018473E">
      <w:pPr>
        <w:jc w:val="both"/>
        <w:rPr>
          <w:rFonts w:ascii="Arial" w:eastAsia="Arial" w:hAnsi="Arial" w:cs="Arial"/>
          <w:b/>
          <w:sz w:val="22"/>
          <w:szCs w:val="22"/>
        </w:rPr>
      </w:pPr>
    </w:p>
    <w:p w14:paraId="12AF7CAF" w14:textId="77777777" w:rsidR="0018473E" w:rsidRPr="00F635C4" w:rsidRDefault="00015EA5">
      <w:pPr>
        <w:jc w:val="center"/>
        <w:rPr>
          <w:rFonts w:ascii="Arial" w:eastAsia="Arial" w:hAnsi="Arial" w:cs="Arial"/>
          <w:b/>
          <w:sz w:val="22"/>
          <w:szCs w:val="22"/>
        </w:rPr>
        <w:sectPr w:rsidR="0018473E" w:rsidRPr="00F635C4">
          <w:type w:val="continuous"/>
          <w:pgSz w:w="12240" w:h="15840"/>
          <w:pgMar w:top="1440" w:right="1080" w:bottom="1440" w:left="1080" w:header="708" w:footer="708" w:gutter="0"/>
          <w:pgNumType w:start="1"/>
          <w:cols w:space="720"/>
        </w:sectPr>
      </w:pPr>
      <w:r w:rsidRPr="00F635C4">
        <w:rPr>
          <w:rFonts w:ascii="Arial" w:eastAsia="Arial" w:hAnsi="Arial" w:cs="Arial"/>
          <w:b/>
          <w:sz w:val="22"/>
          <w:szCs w:val="22"/>
        </w:rPr>
        <w:t>Gráfico 6.</w:t>
      </w:r>
    </w:p>
    <w:p w14:paraId="714EEF88" w14:textId="78498E9A" w:rsidR="0018473E" w:rsidRPr="00F635C4" w:rsidRDefault="00015EA5">
      <w:pPr>
        <w:jc w:val="center"/>
        <w:rPr>
          <w:rFonts w:ascii="Arial" w:eastAsia="Arial" w:hAnsi="Arial" w:cs="Arial"/>
          <w:b/>
          <w:sz w:val="22"/>
          <w:szCs w:val="22"/>
        </w:rPr>
      </w:pPr>
      <w:r w:rsidRPr="00F635C4">
        <w:rPr>
          <w:rFonts w:ascii="Arial" w:eastAsia="Arial" w:hAnsi="Arial" w:cs="Arial"/>
          <w:b/>
          <w:sz w:val="22"/>
          <w:szCs w:val="22"/>
        </w:rPr>
        <w:t>Participación de viviendas de interés social de est</w:t>
      </w:r>
      <w:r w:rsidR="002574BA" w:rsidRPr="00F635C4">
        <w:rPr>
          <w:rFonts w:ascii="Arial" w:eastAsia="Arial" w:hAnsi="Arial" w:cs="Arial"/>
          <w:b/>
          <w:sz w:val="22"/>
          <w:szCs w:val="22"/>
        </w:rPr>
        <w:t>r</w:t>
      </w:r>
      <w:r w:rsidRPr="00F635C4">
        <w:rPr>
          <w:rFonts w:ascii="Arial" w:eastAsia="Arial" w:hAnsi="Arial" w:cs="Arial"/>
          <w:b/>
          <w:sz w:val="22"/>
          <w:szCs w:val="22"/>
        </w:rPr>
        <w:t>a</w:t>
      </w:r>
      <w:r w:rsidR="002574BA" w:rsidRPr="00F635C4">
        <w:rPr>
          <w:rFonts w:ascii="Arial" w:eastAsia="Arial" w:hAnsi="Arial" w:cs="Arial"/>
          <w:b/>
          <w:sz w:val="22"/>
          <w:szCs w:val="22"/>
        </w:rPr>
        <w:t>t</w:t>
      </w:r>
      <w:r w:rsidRPr="00F635C4">
        <w:rPr>
          <w:rFonts w:ascii="Arial" w:eastAsia="Arial" w:hAnsi="Arial" w:cs="Arial"/>
          <w:b/>
          <w:sz w:val="22"/>
          <w:szCs w:val="22"/>
        </w:rPr>
        <w:t>os mayores a 4 licenciadas sobre el total VIS  2005-2024</w:t>
      </w:r>
    </w:p>
    <w:p w14:paraId="7C4829D1" w14:textId="77777777" w:rsidR="0018473E" w:rsidRPr="00F635C4" w:rsidRDefault="00015EA5">
      <w:pPr>
        <w:jc w:val="center"/>
        <w:rPr>
          <w:rFonts w:ascii="Arial" w:eastAsia="Arial" w:hAnsi="Arial" w:cs="Arial"/>
          <w:sz w:val="22"/>
          <w:szCs w:val="22"/>
        </w:rPr>
      </w:pPr>
      <w:r w:rsidRPr="00F635C4">
        <w:rPr>
          <w:rFonts w:ascii="Arial" w:eastAsia="Arial" w:hAnsi="Arial" w:cs="Arial"/>
          <w:noProof/>
          <w:sz w:val="22"/>
          <w:szCs w:val="22"/>
        </w:rPr>
        <w:drawing>
          <wp:inline distT="0" distB="0" distL="0" distR="0" wp14:anchorId="5E871547" wp14:editId="7F482539">
            <wp:extent cx="3061252" cy="1884459"/>
            <wp:effectExtent l="0" t="0" r="0" b="0"/>
            <wp:docPr id="1987837080" name="Gráfico 198783708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7779290A" w14:textId="77777777" w:rsidR="0018473E" w:rsidRPr="00F635C4" w:rsidRDefault="00015EA5">
      <w:pPr>
        <w:jc w:val="center"/>
        <w:rPr>
          <w:rFonts w:ascii="Arial" w:eastAsia="Arial" w:hAnsi="Arial" w:cs="Arial"/>
          <w:sz w:val="18"/>
          <w:szCs w:val="18"/>
        </w:rPr>
      </w:pPr>
      <w:r w:rsidRPr="00F635C4">
        <w:rPr>
          <w:rFonts w:ascii="Arial" w:eastAsia="Arial" w:hAnsi="Arial" w:cs="Arial"/>
          <w:sz w:val="18"/>
          <w:szCs w:val="18"/>
        </w:rPr>
        <w:t>Fuente: Elaboración propia con base en la Secretaría Distrital del Hábitat, IDECA y DANE</w:t>
      </w:r>
    </w:p>
    <w:p w14:paraId="7E28570B" w14:textId="77777777" w:rsidR="0018473E" w:rsidRPr="00F635C4" w:rsidRDefault="0018473E">
      <w:pPr>
        <w:jc w:val="center"/>
        <w:rPr>
          <w:rFonts w:ascii="Arial" w:eastAsia="Arial" w:hAnsi="Arial" w:cs="Arial"/>
          <w:sz w:val="22"/>
          <w:szCs w:val="22"/>
        </w:rPr>
      </w:pPr>
    </w:p>
    <w:p w14:paraId="5D0E7AF6" w14:textId="570CC878" w:rsidR="0018473E" w:rsidRPr="00F635C4" w:rsidRDefault="00D26072">
      <w:pPr>
        <w:pBdr>
          <w:top w:val="nil"/>
          <w:left w:val="nil"/>
          <w:bottom w:val="nil"/>
          <w:right w:val="nil"/>
          <w:between w:val="nil"/>
        </w:pBdr>
        <w:jc w:val="both"/>
        <w:rPr>
          <w:rFonts w:ascii="Arial" w:eastAsia="Arial" w:hAnsi="Arial" w:cs="Arial"/>
          <w:sz w:val="22"/>
          <w:szCs w:val="22"/>
        </w:rPr>
      </w:pPr>
      <w:r w:rsidRPr="00F635C4">
        <w:rPr>
          <w:rFonts w:ascii="Arial" w:eastAsia="Arial" w:hAnsi="Arial" w:cs="Arial"/>
          <w:sz w:val="22"/>
          <w:szCs w:val="22"/>
        </w:rPr>
        <w:t xml:space="preserve">Esto ha llevado a que la vivienda social se siga concentrando en zonas periféricas o de estratos bajos, lo que profundiza la segregación socioeconómica. Por eso es fundamental definir incentivos para vivienda inclusiva que atraigan a los desarrolladores privados, especialmente en áreas estratégicas como las zonas de influencia de la </w:t>
      </w:r>
      <w:r w:rsidR="002574BA" w:rsidRPr="00F635C4">
        <w:rPr>
          <w:rFonts w:ascii="Arial" w:eastAsia="Arial" w:hAnsi="Arial" w:cs="Arial"/>
          <w:sz w:val="22"/>
          <w:szCs w:val="22"/>
        </w:rPr>
        <w:t>P</w:t>
      </w:r>
      <w:r w:rsidRPr="00F635C4">
        <w:rPr>
          <w:rFonts w:ascii="Arial" w:eastAsia="Arial" w:hAnsi="Arial" w:cs="Arial"/>
          <w:sz w:val="22"/>
          <w:szCs w:val="22"/>
        </w:rPr>
        <w:t xml:space="preserve">rimera </w:t>
      </w:r>
      <w:r w:rsidR="002574BA" w:rsidRPr="00F635C4">
        <w:rPr>
          <w:rFonts w:ascii="Arial" w:eastAsia="Arial" w:hAnsi="Arial" w:cs="Arial"/>
          <w:sz w:val="22"/>
          <w:szCs w:val="22"/>
        </w:rPr>
        <w:t>L</w:t>
      </w:r>
      <w:r w:rsidRPr="00F635C4">
        <w:rPr>
          <w:rFonts w:ascii="Arial" w:eastAsia="Arial" w:hAnsi="Arial" w:cs="Arial"/>
          <w:sz w:val="22"/>
          <w:szCs w:val="22"/>
        </w:rPr>
        <w:t xml:space="preserve">ínea del </w:t>
      </w:r>
      <w:r w:rsidR="002574BA" w:rsidRPr="00F635C4">
        <w:rPr>
          <w:rFonts w:ascii="Arial" w:eastAsia="Arial" w:hAnsi="Arial" w:cs="Arial"/>
          <w:sz w:val="22"/>
          <w:szCs w:val="22"/>
        </w:rPr>
        <w:t>M</w:t>
      </w:r>
      <w:r w:rsidRPr="00F635C4">
        <w:rPr>
          <w:rFonts w:ascii="Arial" w:eastAsia="Arial" w:hAnsi="Arial" w:cs="Arial"/>
          <w:sz w:val="22"/>
          <w:szCs w:val="22"/>
        </w:rPr>
        <w:t>etro de Bogotá, clave para detonar la renovación urbana.</w:t>
      </w:r>
    </w:p>
    <w:p w14:paraId="2D3F7CCB" w14:textId="77777777" w:rsidR="00D26072" w:rsidRPr="00F635C4" w:rsidRDefault="00D26072">
      <w:pPr>
        <w:pBdr>
          <w:top w:val="nil"/>
          <w:left w:val="nil"/>
          <w:bottom w:val="nil"/>
          <w:right w:val="nil"/>
          <w:between w:val="nil"/>
        </w:pBdr>
        <w:jc w:val="both"/>
        <w:rPr>
          <w:rFonts w:ascii="Arial" w:eastAsia="Arial" w:hAnsi="Arial" w:cs="Arial"/>
          <w:color w:val="000000"/>
          <w:sz w:val="22"/>
          <w:szCs w:val="22"/>
        </w:rPr>
      </w:pPr>
    </w:p>
    <w:p w14:paraId="0F90084F" w14:textId="3BE30D97" w:rsidR="0018473E" w:rsidRPr="00F635C4" w:rsidRDefault="00015EA5">
      <w:pPr>
        <w:pBdr>
          <w:top w:val="nil"/>
          <w:left w:val="nil"/>
          <w:bottom w:val="nil"/>
          <w:right w:val="nil"/>
          <w:between w:val="nil"/>
        </w:pBdr>
        <w:jc w:val="both"/>
        <w:rPr>
          <w:rFonts w:ascii="Arial" w:eastAsia="Arial" w:hAnsi="Arial" w:cs="Arial"/>
          <w:b/>
          <w:color w:val="000000"/>
          <w:sz w:val="22"/>
          <w:szCs w:val="22"/>
        </w:rPr>
      </w:pPr>
      <w:r w:rsidRPr="00F635C4">
        <w:rPr>
          <w:rFonts w:ascii="Arial" w:eastAsia="Arial" w:hAnsi="Arial" w:cs="Arial"/>
          <w:b/>
          <w:color w:val="000000"/>
          <w:sz w:val="22"/>
          <w:szCs w:val="22"/>
        </w:rPr>
        <w:t>2.3.2. PROPUESTA</w:t>
      </w:r>
      <w:r w:rsidR="00DD085E" w:rsidRPr="00F635C4">
        <w:rPr>
          <w:rFonts w:ascii="Arial" w:eastAsia="Arial" w:hAnsi="Arial" w:cs="Arial"/>
          <w:b/>
          <w:color w:val="000000"/>
          <w:sz w:val="22"/>
          <w:szCs w:val="22"/>
        </w:rPr>
        <w:t xml:space="preserve"> DE LA AUTORA</w:t>
      </w:r>
    </w:p>
    <w:p w14:paraId="239B897B" w14:textId="77777777" w:rsidR="0018473E" w:rsidRPr="00F635C4" w:rsidRDefault="0018473E">
      <w:pPr>
        <w:pBdr>
          <w:top w:val="nil"/>
          <w:left w:val="nil"/>
          <w:bottom w:val="nil"/>
          <w:right w:val="nil"/>
          <w:between w:val="nil"/>
        </w:pBdr>
        <w:jc w:val="both"/>
        <w:rPr>
          <w:rFonts w:ascii="Arial" w:eastAsia="Arial" w:hAnsi="Arial" w:cs="Arial"/>
          <w:color w:val="000000"/>
          <w:sz w:val="22"/>
          <w:szCs w:val="22"/>
        </w:rPr>
      </w:pPr>
    </w:p>
    <w:p w14:paraId="164A0F34" w14:textId="7DFABFE9" w:rsidR="0018473E" w:rsidRPr="00F635C4" w:rsidRDefault="00324460">
      <w:pPr>
        <w:jc w:val="both"/>
        <w:rPr>
          <w:rFonts w:ascii="Arial" w:eastAsia="Arial" w:hAnsi="Arial" w:cs="Arial"/>
          <w:sz w:val="22"/>
          <w:szCs w:val="22"/>
        </w:rPr>
      </w:pPr>
      <w:r w:rsidRPr="00F635C4">
        <w:rPr>
          <w:rFonts w:ascii="Arial" w:eastAsia="Arial" w:hAnsi="Arial" w:cs="Arial"/>
          <w:color w:val="000000"/>
          <w:sz w:val="22"/>
          <w:szCs w:val="22"/>
        </w:rPr>
        <w:t>La autora propone extender por diez años la exención del impuesto de delineación urbana a todos los proyectos de vivienda de interés social y prioritario, sin importar el estrato, y otorgar a las VIS/VIP que se construyan en estratos superiores a 4 un descuento del 65 % en la tarifa de este impuesto, siempre que incorporen criterios de sostenibilidad conforme al Decreto 582 de 2023 y cumplan con el área mínima definida en el POT. Con ello se busca aumentar la oferta de VIS y VIP en áreas centrales de la ciudad, favorecer el desarrollo “en sitio” en lugar de la compensación en otros suelos y, al mismo tiempo, impulsar el crecimiento económico, la generación de empleo y el acceso a vivienda formal.</w:t>
      </w:r>
    </w:p>
    <w:p w14:paraId="32360D8A" w14:textId="77777777" w:rsidR="0018473E" w:rsidRPr="00F635C4" w:rsidRDefault="0018473E">
      <w:pPr>
        <w:jc w:val="both"/>
        <w:rPr>
          <w:rFonts w:ascii="Arial" w:eastAsia="Arial" w:hAnsi="Arial" w:cs="Arial"/>
          <w:sz w:val="22"/>
          <w:szCs w:val="22"/>
        </w:rPr>
      </w:pPr>
    </w:p>
    <w:p w14:paraId="5EB24431" w14:textId="35786A68"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2.3.3. ANÁLISIS COSTO-BENEFICIO</w:t>
      </w:r>
      <w:r w:rsidR="00DD085E" w:rsidRPr="00F635C4">
        <w:rPr>
          <w:rFonts w:ascii="Arial" w:eastAsia="Arial" w:hAnsi="Arial" w:cs="Arial"/>
          <w:b/>
          <w:sz w:val="22"/>
          <w:szCs w:val="22"/>
        </w:rPr>
        <w:t xml:space="preserve"> ELABORADO POR LA AUTORA</w:t>
      </w:r>
    </w:p>
    <w:p w14:paraId="77EEFC91" w14:textId="77777777" w:rsidR="0018473E" w:rsidRPr="00F635C4" w:rsidRDefault="0018473E">
      <w:pPr>
        <w:jc w:val="both"/>
        <w:rPr>
          <w:rFonts w:ascii="Arial" w:eastAsia="Arial" w:hAnsi="Arial" w:cs="Arial"/>
          <w:sz w:val="22"/>
          <w:szCs w:val="22"/>
        </w:rPr>
      </w:pPr>
    </w:p>
    <w:p w14:paraId="265C2EAE" w14:textId="77777777"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2.3.3.1. PARÁMETROS CONSIDERADOS EN LA ESTIMACIÓN</w:t>
      </w:r>
    </w:p>
    <w:p w14:paraId="3977812F" w14:textId="77777777" w:rsidR="0018473E" w:rsidRPr="00F635C4" w:rsidRDefault="0018473E">
      <w:pPr>
        <w:jc w:val="both"/>
        <w:rPr>
          <w:rFonts w:ascii="Arial" w:eastAsia="Arial" w:hAnsi="Arial" w:cs="Arial"/>
          <w:b/>
          <w:sz w:val="22"/>
          <w:szCs w:val="22"/>
        </w:rPr>
      </w:pPr>
    </w:p>
    <w:p w14:paraId="38A3B5DA" w14:textId="3CF80531" w:rsidR="0018473E" w:rsidRPr="00F635C4" w:rsidRDefault="00015EA5">
      <w:pPr>
        <w:jc w:val="both"/>
        <w:rPr>
          <w:rFonts w:ascii="Arial" w:eastAsia="Arial" w:hAnsi="Arial" w:cs="Arial"/>
          <w:sz w:val="22"/>
          <w:szCs w:val="22"/>
        </w:rPr>
        <w:sectPr w:rsidR="0018473E" w:rsidRPr="00F635C4">
          <w:type w:val="continuous"/>
          <w:pgSz w:w="12240" w:h="15840"/>
          <w:pgMar w:top="1440" w:right="1080" w:bottom="1440" w:left="1080" w:header="708" w:footer="708" w:gutter="0"/>
          <w:pgNumType w:start="1"/>
          <w:cols w:space="720"/>
        </w:sectPr>
      </w:pPr>
      <w:r w:rsidRPr="00F635C4">
        <w:rPr>
          <w:rFonts w:ascii="Arial" w:eastAsia="Arial" w:hAnsi="Arial" w:cs="Arial"/>
          <w:sz w:val="22"/>
          <w:szCs w:val="22"/>
        </w:rPr>
        <w:t xml:space="preserve">Con el fin de cuantificar los impactos en materia de recaudo de esta medida, </w:t>
      </w:r>
      <w:r w:rsidR="00324460" w:rsidRPr="00F635C4">
        <w:rPr>
          <w:rFonts w:ascii="Arial" w:eastAsia="Arial" w:hAnsi="Arial" w:cs="Arial"/>
          <w:sz w:val="22"/>
          <w:szCs w:val="22"/>
        </w:rPr>
        <w:t>la autora</w:t>
      </w:r>
      <w:r w:rsidRPr="00F635C4">
        <w:rPr>
          <w:rFonts w:ascii="Arial" w:eastAsia="Arial" w:hAnsi="Arial" w:cs="Arial"/>
          <w:sz w:val="22"/>
          <w:szCs w:val="22"/>
        </w:rPr>
        <w:t xml:space="preserve"> llevó a cabo una modelación que contempló los siguientes parámetros (Tabla 8)</w:t>
      </w:r>
    </w:p>
    <w:p w14:paraId="7B84347F" w14:textId="77777777" w:rsidR="0018473E" w:rsidRPr="00F635C4" w:rsidRDefault="00015EA5">
      <w:pPr>
        <w:jc w:val="center"/>
        <w:rPr>
          <w:rFonts w:ascii="Arial" w:eastAsia="Arial" w:hAnsi="Arial" w:cs="Arial"/>
          <w:b/>
          <w:i/>
          <w:sz w:val="22"/>
          <w:szCs w:val="22"/>
        </w:rPr>
      </w:pPr>
      <w:r w:rsidRPr="00F635C4">
        <w:rPr>
          <w:rFonts w:ascii="Arial" w:eastAsia="Arial" w:hAnsi="Arial" w:cs="Arial"/>
          <w:b/>
          <w:i/>
          <w:sz w:val="22"/>
          <w:szCs w:val="22"/>
        </w:rPr>
        <w:t>Tabla 8. Parámetros considerados para la estimación</w:t>
      </w:r>
    </w:p>
    <w:tbl>
      <w:tblPr>
        <w:tblStyle w:val="a6"/>
        <w:tblW w:w="10008"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21"/>
        <w:gridCol w:w="1206"/>
        <w:gridCol w:w="5881"/>
      </w:tblGrid>
      <w:tr w:rsidR="0018473E" w:rsidRPr="00F635C4" w14:paraId="3E1A3EB3" w14:textId="77777777">
        <w:trPr>
          <w:trHeight w:val="193"/>
          <w:jc w:val="center"/>
        </w:trPr>
        <w:tc>
          <w:tcPr>
            <w:tcW w:w="2921" w:type="dxa"/>
            <w:vAlign w:val="center"/>
          </w:tcPr>
          <w:p w14:paraId="19DEF735" w14:textId="77777777" w:rsidR="0018473E" w:rsidRPr="00F635C4" w:rsidRDefault="00015EA5">
            <w:pPr>
              <w:rPr>
                <w:b/>
                <w:color w:val="404040"/>
                <w:sz w:val="20"/>
                <w:szCs w:val="20"/>
              </w:rPr>
            </w:pPr>
            <w:r w:rsidRPr="00F635C4">
              <w:rPr>
                <w:b/>
                <w:color w:val="404040"/>
                <w:sz w:val="20"/>
                <w:szCs w:val="20"/>
              </w:rPr>
              <w:t>Elemento</w:t>
            </w:r>
          </w:p>
        </w:tc>
        <w:tc>
          <w:tcPr>
            <w:tcW w:w="1206" w:type="dxa"/>
            <w:vAlign w:val="center"/>
          </w:tcPr>
          <w:p w14:paraId="19BE6487" w14:textId="77777777" w:rsidR="0018473E" w:rsidRPr="00F635C4" w:rsidRDefault="00015EA5">
            <w:pPr>
              <w:rPr>
                <w:b/>
                <w:color w:val="404040"/>
                <w:sz w:val="20"/>
                <w:szCs w:val="20"/>
              </w:rPr>
            </w:pPr>
            <w:r w:rsidRPr="00F635C4">
              <w:rPr>
                <w:b/>
                <w:color w:val="404040"/>
                <w:sz w:val="20"/>
                <w:szCs w:val="20"/>
              </w:rPr>
              <w:t>Parámetro</w:t>
            </w:r>
          </w:p>
        </w:tc>
        <w:tc>
          <w:tcPr>
            <w:tcW w:w="5881" w:type="dxa"/>
            <w:vAlign w:val="center"/>
          </w:tcPr>
          <w:p w14:paraId="38235254" w14:textId="77777777" w:rsidR="0018473E" w:rsidRPr="00F635C4" w:rsidRDefault="00015EA5">
            <w:pPr>
              <w:rPr>
                <w:b/>
                <w:color w:val="404040"/>
                <w:sz w:val="20"/>
                <w:szCs w:val="20"/>
              </w:rPr>
            </w:pPr>
            <w:r w:rsidRPr="00F635C4">
              <w:rPr>
                <w:b/>
                <w:color w:val="404040"/>
                <w:sz w:val="20"/>
                <w:szCs w:val="20"/>
              </w:rPr>
              <w:t>Justificación y fuente</w:t>
            </w:r>
          </w:p>
        </w:tc>
      </w:tr>
      <w:tr w:rsidR="0018473E" w:rsidRPr="00F635C4" w14:paraId="62895B64" w14:textId="77777777">
        <w:trPr>
          <w:trHeight w:val="193"/>
          <w:jc w:val="center"/>
        </w:trPr>
        <w:tc>
          <w:tcPr>
            <w:tcW w:w="2921" w:type="dxa"/>
            <w:vAlign w:val="center"/>
          </w:tcPr>
          <w:p w14:paraId="0FE43F3C" w14:textId="77777777" w:rsidR="0018473E" w:rsidRPr="00F635C4" w:rsidRDefault="00015EA5">
            <w:pPr>
              <w:rPr>
                <w:color w:val="000000"/>
                <w:sz w:val="20"/>
                <w:szCs w:val="20"/>
              </w:rPr>
            </w:pPr>
            <w:r w:rsidRPr="00F635C4">
              <w:rPr>
                <w:color w:val="000000"/>
                <w:sz w:val="20"/>
                <w:szCs w:val="20"/>
              </w:rPr>
              <w:t>Participación vivienda de interés social en el total del mercado</w:t>
            </w:r>
          </w:p>
        </w:tc>
        <w:tc>
          <w:tcPr>
            <w:tcW w:w="1206" w:type="dxa"/>
            <w:vAlign w:val="center"/>
          </w:tcPr>
          <w:p w14:paraId="425A8AFB" w14:textId="77777777" w:rsidR="0018473E" w:rsidRPr="00F635C4" w:rsidRDefault="00015EA5">
            <w:pPr>
              <w:rPr>
                <w:color w:val="000000"/>
                <w:sz w:val="20"/>
                <w:szCs w:val="20"/>
              </w:rPr>
            </w:pPr>
            <w:r w:rsidRPr="00F635C4">
              <w:rPr>
                <w:color w:val="000000"/>
                <w:sz w:val="20"/>
                <w:szCs w:val="20"/>
              </w:rPr>
              <w:t>76%</w:t>
            </w:r>
          </w:p>
        </w:tc>
        <w:tc>
          <w:tcPr>
            <w:tcW w:w="5881" w:type="dxa"/>
            <w:vAlign w:val="center"/>
          </w:tcPr>
          <w:p w14:paraId="2692A324" w14:textId="77777777" w:rsidR="0018473E" w:rsidRPr="00F635C4" w:rsidRDefault="00015EA5">
            <w:pPr>
              <w:rPr>
                <w:color w:val="000000"/>
                <w:sz w:val="20"/>
                <w:szCs w:val="20"/>
              </w:rPr>
            </w:pPr>
            <w:r w:rsidRPr="00F635C4">
              <w:rPr>
                <w:color w:val="000000"/>
                <w:sz w:val="20"/>
                <w:szCs w:val="20"/>
              </w:rPr>
              <w:t xml:space="preserve">Participación estimada de viviendas sociales a 2035. Fuente: Plan del Hábitat y Servicios Públicos </w:t>
            </w:r>
          </w:p>
        </w:tc>
      </w:tr>
      <w:tr w:rsidR="0018473E" w:rsidRPr="00F635C4" w14:paraId="71754FED" w14:textId="77777777">
        <w:trPr>
          <w:trHeight w:val="193"/>
          <w:jc w:val="center"/>
        </w:trPr>
        <w:tc>
          <w:tcPr>
            <w:tcW w:w="2921" w:type="dxa"/>
            <w:vAlign w:val="center"/>
          </w:tcPr>
          <w:p w14:paraId="4A83F7D3" w14:textId="77777777" w:rsidR="0018473E" w:rsidRPr="00F635C4" w:rsidRDefault="00015EA5">
            <w:pPr>
              <w:rPr>
                <w:color w:val="000000"/>
                <w:sz w:val="20"/>
                <w:szCs w:val="20"/>
              </w:rPr>
            </w:pPr>
            <w:r w:rsidRPr="00F635C4">
              <w:rPr>
                <w:color w:val="000000"/>
                <w:sz w:val="20"/>
                <w:szCs w:val="20"/>
              </w:rPr>
              <w:t xml:space="preserve">Viviendas VIS estrato mayor igual a 4 </w:t>
            </w:r>
          </w:p>
        </w:tc>
        <w:tc>
          <w:tcPr>
            <w:tcW w:w="1206" w:type="dxa"/>
            <w:vAlign w:val="center"/>
          </w:tcPr>
          <w:p w14:paraId="43C73417" w14:textId="77777777" w:rsidR="0018473E" w:rsidRPr="00F635C4" w:rsidRDefault="00015EA5">
            <w:pPr>
              <w:rPr>
                <w:color w:val="000000"/>
                <w:sz w:val="20"/>
                <w:szCs w:val="20"/>
              </w:rPr>
            </w:pPr>
            <w:r w:rsidRPr="00F635C4">
              <w:rPr>
                <w:color w:val="000000"/>
                <w:sz w:val="20"/>
                <w:szCs w:val="20"/>
              </w:rPr>
              <w:t>21%</w:t>
            </w:r>
          </w:p>
        </w:tc>
        <w:tc>
          <w:tcPr>
            <w:tcW w:w="5881" w:type="dxa"/>
            <w:vAlign w:val="center"/>
          </w:tcPr>
          <w:p w14:paraId="4C263969" w14:textId="77777777" w:rsidR="0018473E" w:rsidRPr="00F635C4" w:rsidRDefault="00015EA5">
            <w:pPr>
              <w:rPr>
                <w:color w:val="000000"/>
                <w:sz w:val="20"/>
                <w:szCs w:val="20"/>
              </w:rPr>
            </w:pPr>
            <w:r w:rsidRPr="00F635C4">
              <w:rPr>
                <w:color w:val="000000"/>
                <w:sz w:val="20"/>
                <w:szCs w:val="20"/>
              </w:rPr>
              <w:t>Porcentaje promedio de viviendas licenciadas en Bogotá de estrato igual o mayor a 4 en periodo 2022-2024. Se utiliza para estimar el número de VIS que contribuyen con el impuesto de delineación. Fuente: DANE</w:t>
            </w:r>
          </w:p>
        </w:tc>
      </w:tr>
      <w:tr w:rsidR="0018473E" w:rsidRPr="00F635C4" w14:paraId="253970CA" w14:textId="77777777">
        <w:trPr>
          <w:trHeight w:val="193"/>
          <w:jc w:val="center"/>
        </w:trPr>
        <w:tc>
          <w:tcPr>
            <w:tcW w:w="2921" w:type="dxa"/>
            <w:vAlign w:val="center"/>
          </w:tcPr>
          <w:p w14:paraId="3C882EAF" w14:textId="77777777" w:rsidR="0018473E" w:rsidRPr="00F635C4" w:rsidRDefault="00015EA5">
            <w:pPr>
              <w:rPr>
                <w:color w:val="000000"/>
                <w:sz w:val="20"/>
                <w:szCs w:val="20"/>
              </w:rPr>
            </w:pPr>
            <w:r w:rsidRPr="00F635C4">
              <w:rPr>
                <w:color w:val="000000"/>
                <w:sz w:val="20"/>
                <w:szCs w:val="20"/>
              </w:rPr>
              <w:t>Valor VIS (SMMLV)</w:t>
            </w:r>
          </w:p>
        </w:tc>
        <w:tc>
          <w:tcPr>
            <w:tcW w:w="1206" w:type="dxa"/>
            <w:vAlign w:val="center"/>
          </w:tcPr>
          <w:p w14:paraId="4F73C584" w14:textId="77777777" w:rsidR="0018473E" w:rsidRPr="00F635C4" w:rsidRDefault="00015EA5">
            <w:pPr>
              <w:rPr>
                <w:color w:val="000000"/>
                <w:sz w:val="20"/>
                <w:szCs w:val="20"/>
              </w:rPr>
            </w:pPr>
            <w:r w:rsidRPr="00F635C4">
              <w:rPr>
                <w:color w:val="000000"/>
                <w:sz w:val="20"/>
                <w:szCs w:val="20"/>
              </w:rPr>
              <w:t>150</w:t>
            </w:r>
          </w:p>
        </w:tc>
        <w:tc>
          <w:tcPr>
            <w:tcW w:w="5881" w:type="dxa"/>
            <w:vAlign w:val="center"/>
          </w:tcPr>
          <w:p w14:paraId="276D3FE8" w14:textId="77777777" w:rsidR="0018473E" w:rsidRPr="00F635C4" w:rsidRDefault="00015EA5">
            <w:pPr>
              <w:rPr>
                <w:color w:val="000000"/>
                <w:sz w:val="20"/>
                <w:szCs w:val="20"/>
              </w:rPr>
            </w:pPr>
            <w:r w:rsidRPr="00F635C4">
              <w:rPr>
                <w:color w:val="000000"/>
                <w:sz w:val="20"/>
                <w:szCs w:val="20"/>
              </w:rPr>
              <w:t>Precio tope de VIS en Bogotá. Artículo 239 de la Ley 2294 de 2023</w:t>
            </w:r>
          </w:p>
        </w:tc>
      </w:tr>
      <w:tr w:rsidR="0018473E" w:rsidRPr="00F635C4" w14:paraId="1DA2CB91" w14:textId="77777777">
        <w:trPr>
          <w:trHeight w:val="808"/>
          <w:jc w:val="center"/>
        </w:trPr>
        <w:tc>
          <w:tcPr>
            <w:tcW w:w="2921" w:type="dxa"/>
            <w:vAlign w:val="center"/>
          </w:tcPr>
          <w:p w14:paraId="27A8B021" w14:textId="77777777" w:rsidR="0018473E" w:rsidRPr="00F635C4" w:rsidRDefault="00015EA5">
            <w:pPr>
              <w:rPr>
                <w:color w:val="000000"/>
                <w:sz w:val="20"/>
                <w:szCs w:val="20"/>
              </w:rPr>
            </w:pPr>
            <w:r w:rsidRPr="00F635C4">
              <w:rPr>
                <w:color w:val="000000"/>
                <w:sz w:val="20"/>
                <w:szCs w:val="20"/>
              </w:rPr>
              <w:t>Crecimiento precio de las viviendas</w:t>
            </w:r>
          </w:p>
        </w:tc>
        <w:tc>
          <w:tcPr>
            <w:tcW w:w="1206" w:type="dxa"/>
            <w:vAlign w:val="center"/>
          </w:tcPr>
          <w:p w14:paraId="0D79A50D" w14:textId="77777777" w:rsidR="0018473E" w:rsidRPr="00F635C4" w:rsidRDefault="00015EA5">
            <w:pPr>
              <w:rPr>
                <w:color w:val="000000"/>
                <w:sz w:val="20"/>
                <w:szCs w:val="20"/>
              </w:rPr>
            </w:pPr>
            <w:r w:rsidRPr="00F635C4">
              <w:rPr>
                <w:color w:val="000000"/>
                <w:sz w:val="20"/>
                <w:szCs w:val="20"/>
              </w:rPr>
              <w:t>3.6%-3%</w:t>
            </w:r>
          </w:p>
        </w:tc>
        <w:tc>
          <w:tcPr>
            <w:tcW w:w="5881" w:type="dxa"/>
            <w:vAlign w:val="center"/>
          </w:tcPr>
          <w:p w14:paraId="0EBDAD02" w14:textId="77777777" w:rsidR="0018473E" w:rsidRPr="00F635C4" w:rsidRDefault="00015EA5">
            <w:pPr>
              <w:rPr>
                <w:color w:val="000000"/>
                <w:sz w:val="20"/>
                <w:szCs w:val="20"/>
              </w:rPr>
            </w:pPr>
            <w:r w:rsidRPr="00F635C4">
              <w:rPr>
                <w:color w:val="000000"/>
                <w:sz w:val="20"/>
                <w:szCs w:val="20"/>
              </w:rPr>
              <w:t>Los valores de las viviendas evolucionan según la inflación mediana esperada hasta 2026. A partir de 2027, se adopta como referencia una inflación del 3%, correspondiente al valor medio del rango meta de inflación. Fuente: Encuesta Mensual de Expectativas Económicas del Banco de la República de Colombia.</w:t>
            </w:r>
          </w:p>
        </w:tc>
      </w:tr>
      <w:tr w:rsidR="0018473E" w:rsidRPr="00F635C4" w14:paraId="41D270FF" w14:textId="77777777">
        <w:trPr>
          <w:trHeight w:val="193"/>
          <w:jc w:val="center"/>
        </w:trPr>
        <w:tc>
          <w:tcPr>
            <w:tcW w:w="2921" w:type="dxa"/>
            <w:vAlign w:val="center"/>
          </w:tcPr>
          <w:p w14:paraId="0968491A" w14:textId="77777777" w:rsidR="0018473E" w:rsidRPr="00F635C4" w:rsidRDefault="00015EA5">
            <w:pPr>
              <w:rPr>
                <w:color w:val="000000"/>
                <w:sz w:val="20"/>
                <w:szCs w:val="20"/>
              </w:rPr>
            </w:pPr>
            <w:r w:rsidRPr="00F635C4">
              <w:rPr>
                <w:color w:val="000000"/>
                <w:sz w:val="20"/>
                <w:szCs w:val="20"/>
              </w:rPr>
              <w:t xml:space="preserve">Tarifa </w:t>
            </w:r>
          </w:p>
        </w:tc>
        <w:tc>
          <w:tcPr>
            <w:tcW w:w="1206" w:type="dxa"/>
            <w:vAlign w:val="center"/>
          </w:tcPr>
          <w:p w14:paraId="00C9329B" w14:textId="77777777" w:rsidR="0018473E" w:rsidRPr="00F635C4" w:rsidRDefault="00015EA5">
            <w:pPr>
              <w:rPr>
                <w:color w:val="000000"/>
                <w:sz w:val="20"/>
                <w:szCs w:val="20"/>
              </w:rPr>
            </w:pPr>
            <w:r w:rsidRPr="00F635C4">
              <w:rPr>
                <w:color w:val="000000"/>
                <w:sz w:val="20"/>
                <w:szCs w:val="20"/>
              </w:rPr>
              <w:t>2,6%</w:t>
            </w:r>
          </w:p>
        </w:tc>
        <w:tc>
          <w:tcPr>
            <w:tcW w:w="5881" w:type="dxa"/>
            <w:vAlign w:val="center"/>
          </w:tcPr>
          <w:p w14:paraId="41A714B6" w14:textId="77777777" w:rsidR="0018473E" w:rsidRPr="00F635C4" w:rsidRDefault="00015EA5">
            <w:pPr>
              <w:rPr>
                <w:color w:val="000000"/>
                <w:sz w:val="20"/>
                <w:szCs w:val="20"/>
              </w:rPr>
            </w:pPr>
            <w:r w:rsidRPr="00F635C4">
              <w:rPr>
                <w:color w:val="000000"/>
                <w:sz w:val="20"/>
                <w:szCs w:val="20"/>
              </w:rPr>
              <w:t xml:space="preserve">Sobre el presupuesto inicial de la obra, pagado al declarar el anticipo, Fuente: Acuerdo 352 de 2008 </w:t>
            </w:r>
          </w:p>
        </w:tc>
      </w:tr>
      <w:tr w:rsidR="0018473E" w:rsidRPr="00F635C4" w14:paraId="6E5DCDF1" w14:textId="77777777">
        <w:trPr>
          <w:trHeight w:val="193"/>
          <w:jc w:val="center"/>
        </w:trPr>
        <w:tc>
          <w:tcPr>
            <w:tcW w:w="2921" w:type="dxa"/>
            <w:vAlign w:val="center"/>
          </w:tcPr>
          <w:p w14:paraId="4145B4A3" w14:textId="77777777" w:rsidR="0018473E" w:rsidRPr="00F635C4" w:rsidRDefault="00015EA5">
            <w:pPr>
              <w:rPr>
                <w:color w:val="000000"/>
                <w:sz w:val="20"/>
                <w:szCs w:val="20"/>
              </w:rPr>
            </w:pPr>
            <w:r w:rsidRPr="00F635C4">
              <w:rPr>
                <w:color w:val="000000"/>
                <w:sz w:val="20"/>
                <w:szCs w:val="20"/>
              </w:rPr>
              <w:t>Incidencia de materiales y equipos y mano de obra en el valor comercial</w:t>
            </w:r>
          </w:p>
        </w:tc>
        <w:tc>
          <w:tcPr>
            <w:tcW w:w="1206" w:type="dxa"/>
            <w:vAlign w:val="center"/>
          </w:tcPr>
          <w:p w14:paraId="2A2FAE6D" w14:textId="77777777" w:rsidR="0018473E" w:rsidRPr="00F635C4" w:rsidRDefault="00015EA5">
            <w:pPr>
              <w:rPr>
                <w:color w:val="000000"/>
                <w:sz w:val="20"/>
                <w:szCs w:val="20"/>
              </w:rPr>
            </w:pPr>
            <w:r w:rsidRPr="00F635C4">
              <w:rPr>
                <w:color w:val="000000"/>
                <w:sz w:val="20"/>
                <w:szCs w:val="20"/>
              </w:rPr>
              <w:t>55,4%</w:t>
            </w:r>
          </w:p>
        </w:tc>
        <w:tc>
          <w:tcPr>
            <w:tcW w:w="5881" w:type="dxa"/>
            <w:vAlign w:val="center"/>
          </w:tcPr>
          <w:p w14:paraId="024363F1" w14:textId="77777777" w:rsidR="0018473E" w:rsidRPr="00F635C4" w:rsidRDefault="00015EA5">
            <w:pPr>
              <w:rPr>
                <w:color w:val="000000"/>
                <w:sz w:val="20"/>
                <w:szCs w:val="20"/>
              </w:rPr>
            </w:pPr>
            <w:r w:rsidRPr="00F635C4">
              <w:rPr>
                <w:color w:val="000000"/>
                <w:sz w:val="20"/>
                <w:szCs w:val="20"/>
              </w:rPr>
              <w:t>Participación de materiales, equipo y mano de obra en la estructura de costos de un proyecto de vivienda. Fuente: DNP</w:t>
            </w:r>
          </w:p>
        </w:tc>
      </w:tr>
      <w:tr w:rsidR="0018473E" w:rsidRPr="00F635C4" w14:paraId="6CD2DFFF" w14:textId="77777777">
        <w:trPr>
          <w:trHeight w:val="193"/>
          <w:jc w:val="center"/>
        </w:trPr>
        <w:tc>
          <w:tcPr>
            <w:tcW w:w="2921" w:type="dxa"/>
            <w:vAlign w:val="center"/>
          </w:tcPr>
          <w:p w14:paraId="1FB29C01" w14:textId="77777777" w:rsidR="0018473E" w:rsidRPr="00F635C4" w:rsidRDefault="00015EA5">
            <w:pPr>
              <w:rPr>
                <w:color w:val="000000"/>
                <w:sz w:val="20"/>
                <w:szCs w:val="20"/>
              </w:rPr>
            </w:pPr>
            <w:r w:rsidRPr="00F635C4">
              <w:rPr>
                <w:color w:val="000000"/>
                <w:sz w:val="20"/>
                <w:szCs w:val="20"/>
              </w:rPr>
              <w:t xml:space="preserve">Tarifa </w:t>
            </w:r>
          </w:p>
        </w:tc>
        <w:tc>
          <w:tcPr>
            <w:tcW w:w="1206" w:type="dxa"/>
            <w:vAlign w:val="center"/>
          </w:tcPr>
          <w:p w14:paraId="221789BD" w14:textId="77777777" w:rsidR="0018473E" w:rsidRPr="00F635C4" w:rsidRDefault="00015EA5">
            <w:pPr>
              <w:rPr>
                <w:color w:val="000000"/>
                <w:sz w:val="20"/>
                <w:szCs w:val="20"/>
              </w:rPr>
            </w:pPr>
            <w:r w:rsidRPr="00F635C4">
              <w:rPr>
                <w:color w:val="000000"/>
                <w:sz w:val="20"/>
                <w:szCs w:val="20"/>
              </w:rPr>
              <w:t>11,04 por mil</w:t>
            </w:r>
          </w:p>
        </w:tc>
        <w:tc>
          <w:tcPr>
            <w:tcW w:w="5881" w:type="dxa"/>
            <w:vAlign w:val="center"/>
          </w:tcPr>
          <w:p w14:paraId="7C0BD40D" w14:textId="77777777" w:rsidR="0018473E" w:rsidRPr="00F635C4" w:rsidRDefault="00015EA5">
            <w:pPr>
              <w:rPr>
                <w:color w:val="000000"/>
                <w:sz w:val="20"/>
                <w:szCs w:val="20"/>
              </w:rPr>
            </w:pPr>
            <w:r w:rsidRPr="00F635C4">
              <w:rPr>
                <w:color w:val="000000"/>
                <w:sz w:val="20"/>
                <w:szCs w:val="20"/>
              </w:rPr>
              <w:t>Correspondiente al grupo 103 de la actividad industrial Fuente: Secretaría Distrital de Hacienda</w:t>
            </w:r>
          </w:p>
        </w:tc>
      </w:tr>
      <w:tr w:rsidR="0018473E" w:rsidRPr="00F635C4" w14:paraId="6B5D6C3C" w14:textId="77777777">
        <w:trPr>
          <w:trHeight w:val="193"/>
          <w:jc w:val="center"/>
        </w:trPr>
        <w:tc>
          <w:tcPr>
            <w:tcW w:w="2921" w:type="dxa"/>
            <w:vAlign w:val="center"/>
          </w:tcPr>
          <w:p w14:paraId="70E81B6A" w14:textId="77777777" w:rsidR="0018473E" w:rsidRPr="00F635C4" w:rsidRDefault="00015EA5">
            <w:pPr>
              <w:rPr>
                <w:color w:val="000000"/>
                <w:sz w:val="20"/>
                <w:szCs w:val="20"/>
              </w:rPr>
            </w:pPr>
            <w:r w:rsidRPr="00F635C4">
              <w:rPr>
                <w:color w:val="000000"/>
                <w:sz w:val="20"/>
                <w:szCs w:val="20"/>
              </w:rPr>
              <w:t xml:space="preserve">Incidencia de materiales y equipos en el valor comercial </w:t>
            </w:r>
          </w:p>
        </w:tc>
        <w:tc>
          <w:tcPr>
            <w:tcW w:w="1206" w:type="dxa"/>
            <w:vAlign w:val="center"/>
          </w:tcPr>
          <w:p w14:paraId="1370B35D" w14:textId="77777777" w:rsidR="0018473E" w:rsidRPr="00F635C4" w:rsidRDefault="00015EA5">
            <w:pPr>
              <w:rPr>
                <w:color w:val="000000"/>
                <w:sz w:val="20"/>
                <w:szCs w:val="20"/>
              </w:rPr>
            </w:pPr>
            <w:r w:rsidRPr="00F635C4">
              <w:rPr>
                <w:color w:val="000000"/>
                <w:sz w:val="20"/>
                <w:szCs w:val="20"/>
              </w:rPr>
              <w:t>38.8%</w:t>
            </w:r>
          </w:p>
        </w:tc>
        <w:tc>
          <w:tcPr>
            <w:tcW w:w="5881" w:type="dxa"/>
            <w:vAlign w:val="center"/>
          </w:tcPr>
          <w:p w14:paraId="659DA204" w14:textId="77777777" w:rsidR="0018473E" w:rsidRPr="00F635C4" w:rsidRDefault="00015EA5">
            <w:pPr>
              <w:rPr>
                <w:color w:val="000000"/>
                <w:sz w:val="20"/>
                <w:szCs w:val="20"/>
              </w:rPr>
            </w:pPr>
            <w:r w:rsidRPr="00F635C4">
              <w:rPr>
                <w:color w:val="000000"/>
                <w:sz w:val="20"/>
                <w:szCs w:val="20"/>
              </w:rPr>
              <w:t>Este factor se utiliza para determinar el pago del impuesto de ICA realizado por proveedores. Fuente: DNP</w:t>
            </w:r>
          </w:p>
        </w:tc>
      </w:tr>
      <w:tr w:rsidR="0018473E" w:rsidRPr="00F635C4" w14:paraId="483E5316" w14:textId="77777777">
        <w:trPr>
          <w:trHeight w:val="193"/>
          <w:jc w:val="center"/>
        </w:trPr>
        <w:tc>
          <w:tcPr>
            <w:tcW w:w="2921" w:type="dxa"/>
            <w:vAlign w:val="center"/>
          </w:tcPr>
          <w:p w14:paraId="7A0E3281" w14:textId="77777777" w:rsidR="0018473E" w:rsidRPr="00F635C4" w:rsidRDefault="00015EA5">
            <w:pPr>
              <w:rPr>
                <w:color w:val="000000"/>
                <w:sz w:val="20"/>
                <w:szCs w:val="20"/>
                <w:highlight w:val="yellow"/>
              </w:rPr>
            </w:pPr>
            <w:r w:rsidRPr="00F635C4">
              <w:rPr>
                <w:color w:val="000000"/>
                <w:sz w:val="20"/>
                <w:szCs w:val="20"/>
              </w:rPr>
              <w:t xml:space="preserve">Tarifa </w:t>
            </w:r>
          </w:p>
        </w:tc>
        <w:tc>
          <w:tcPr>
            <w:tcW w:w="1206" w:type="dxa"/>
            <w:vAlign w:val="center"/>
          </w:tcPr>
          <w:p w14:paraId="0DB470AF" w14:textId="77777777" w:rsidR="0018473E" w:rsidRPr="00F635C4" w:rsidRDefault="00015EA5">
            <w:pPr>
              <w:rPr>
                <w:color w:val="000000"/>
                <w:sz w:val="20"/>
                <w:szCs w:val="20"/>
                <w:highlight w:val="yellow"/>
              </w:rPr>
            </w:pPr>
            <w:r w:rsidRPr="00F635C4">
              <w:rPr>
                <w:color w:val="000000"/>
                <w:sz w:val="20"/>
                <w:szCs w:val="20"/>
              </w:rPr>
              <w:t>11,04 por mil</w:t>
            </w:r>
          </w:p>
        </w:tc>
        <w:tc>
          <w:tcPr>
            <w:tcW w:w="5881" w:type="dxa"/>
            <w:vAlign w:val="center"/>
          </w:tcPr>
          <w:p w14:paraId="5E5399C0" w14:textId="77777777" w:rsidR="0018473E" w:rsidRPr="00F635C4" w:rsidRDefault="00015EA5">
            <w:pPr>
              <w:rPr>
                <w:color w:val="000000"/>
                <w:sz w:val="20"/>
                <w:szCs w:val="20"/>
              </w:rPr>
            </w:pPr>
            <w:r w:rsidRPr="00F635C4">
              <w:rPr>
                <w:color w:val="000000"/>
                <w:sz w:val="20"/>
                <w:szCs w:val="20"/>
              </w:rPr>
              <w:t>Correspondiente al grupo 204 de la actividad comercial (Secretaría Distrital de Hacienda,2025).</w:t>
            </w:r>
          </w:p>
        </w:tc>
      </w:tr>
      <w:tr w:rsidR="0018473E" w:rsidRPr="00F635C4" w14:paraId="325C663C" w14:textId="77777777">
        <w:trPr>
          <w:trHeight w:val="193"/>
          <w:jc w:val="center"/>
        </w:trPr>
        <w:tc>
          <w:tcPr>
            <w:tcW w:w="2921" w:type="dxa"/>
            <w:vAlign w:val="center"/>
          </w:tcPr>
          <w:p w14:paraId="1A0641E5" w14:textId="77777777" w:rsidR="0018473E" w:rsidRPr="00F635C4" w:rsidRDefault="00015EA5">
            <w:pPr>
              <w:rPr>
                <w:color w:val="000000"/>
                <w:sz w:val="20"/>
                <w:szCs w:val="20"/>
              </w:rPr>
            </w:pPr>
            <w:r w:rsidRPr="00F635C4">
              <w:rPr>
                <w:color w:val="000000"/>
                <w:sz w:val="20"/>
                <w:szCs w:val="20"/>
              </w:rPr>
              <w:t>Tarifa predial residenciales</w:t>
            </w:r>
          </w:p>
        </w:tc>
        <w:tc>
          <w:tcPr>
            <w:tcW w:w="1206" w:type="dxa"/>
            <w:vAlign w:val="center"/>
          </w:tcPr>
          <w:p w14:paraId="7D1AABEE" w14:textId="77777777" w:rsidR="0018473E" w:rsidRPr="00F635C4" w:rsidRDefault="00015EA5">
            <w:pPr>
              <w:rPr>
                <w:color w:val="000000"/>
                <w:sz w:val="20"/>
                <w:szCs w:val="20"/>
              </w:rPr>
            </w:pPr>
            <w:r w:rsidRPr="00F635C4">
              <w:rPr>
                <w:color w:val="000000"/>
                <w:sz w:val="20"/>
                <w:szCs w:val="20"/>
              </w:rPr>
              <w:t>6,5-10,1 por mil</w:t>
            </w:r>
          </w:p>
        </w:tc>
        <w:tc>
          <w:tcPr>
            <w:tcW w:w="5881" w:type="dxa"/>
            <w:vAlign w:val="center"/>
          </w:tcPr>
          <w:p w14:paraId="0342BD14" w14:textId="77777777" w:rsidR="0018473E" w:rsidRPr="00F635C4" w:rsidRDefault="00015EA5">
            <w:pPr>
              <w:rPr>
                <w:color w:val="000000"/>
                <w:sz w:val="20"/>
                <w:szCs w:val="20"/>
              </w:rPr>
            </w:pPr>
            <w:r w:rsidRPr="00F635C4">
              <w:rPr>
                <w:color w:val="000000"/>
                <w:sz w:val="20"/>
                <w:szCs w:val="20"/>
              </w:rPr>
              <w:t>Acuerdo 648 de 2008</w:t>
            </w:r>
          </w:p>
        </w:tc>
      </w:tr>
      <w:tr w:rsidR="0018473E" w:rsidRPr="00F635C4" w14:paraId="6BCB6AE8" w14:textId="77777777">
        <w:trPr>
          <w:trHeight w:val="193"/>
          <w:jc w:val="center"/>
        </w:trPr>
        <w:tc>
          <w:tcPr>
            <w:tcW w:w="2921" w:type="dxa"/>
            <w:vAlign w:val="center"/>
          </w:tcPr>
          <w:p w14:paraId="1DCAC798" w14:textId="77777777" w:rsidR="0018473E" w:rsidRPr="00F635C4" w:rsidRDefault="00015EA5">
            <w:pPr>
              <w:rPr>
                <w:color w:val="000000"/>
                <w:sz w:val="20"/>
                <w:szCs w:val="20"/>
              </w:rPr>
            </w:pPr>
            <w:r w:rsidRPr="00F635C4">
              <w:rPr>
                <w:color w:val="000000"/>
                <w:sz w:val="20"/>
                <w:szCs w:val="20"/>
              </w:rPr>
              <w:t>Promedio del valor de la razón de avalúo catastral/Avalúo comercial</w:t>
            </w:r>
          </w:p>
        </w:tc>
        <w:tc>
          <w:tcPr>
            <w:tcW w:w="1206" w:type="dxa"/>
            <w:vAlign w:val="center"/>
          </w:tcPr>
          <w:p w14:paraId="0757DAC1" w14:textId="77777777" w:rsidR="0018473E" w:rsidRPr="00F635C4" w:rsidRDefault="00015EA5">
            <w:pPr>
              <w:rPr>
                <w:color w:val="000000"/>
                <w:sz w:val="20"/>
                <w:szCs w:val="20"/>
              </w:rPr>
            </w:pPr>
            <w:r w:rsidRPr="00F635C4">
              <w:rPr>
                <w:color w:val="000000"/>
                <w:sz w:val="20"/>
                <w:szCs w:val="20"/>
              </w:rPr>
              <w:t>70%</w:t>
            </w:r>
          </w:p>
        </w:tc>
        <w:tc>
          <w:tcPr>
            <w:tcW w:w="5881" w:type="dxa"/>
            <w:vAlign w:val="center"/>
          </w:tcPr>
          <w:p w14:paraId="506FCAFF" w14:textId="77777777" w:rsidR="0018473E" w:rsidRPr="00F635C4" w:rsidRDefault="00015EA5">
            <w:pPr>
              <w:rPr>
                <w:color w:val="000000"/>
                <w:sz w:val="20"/>
                <w:szCs w:val="20"/>
              </w:rPr>
            </w:pPr>
            <w:r w:rsidRPr="00F635C4">
              <w:rPr>
                <w:color w:val="000000"/>
                <w:sz w:val="20"/>
                <w:szCs w:val="20"/>
              </w:rPr>
              <w:t>El valor derivado de este porcentaje se adopta como base gravable del impuesto predial Fuente: Unidad Administrativa Especial de Catastro Distrital.</w:t>
            </w:r>
          </w:p>
        </w:tc>
      </w:tr>
      <w:tr w:rsidR="0018473E" w:rsidRPr="00F635C4" w14:paraId="49902BDE" w14:textId="77777777">
        <w:trPr>
          <w:trHeight w:val="193"/>
          <w:jc w:val="center"/>
        </w:trPr>
        <w:tc>
          <w:tcPr>
            <w:tcW w:w="2921" w:type="dxa"/>
            <w:vAlign w:val="center"/>
          </w:tcPr>
          <w:p w14:paraId="75D1310D" w14:textId="77777777" w:rsidR="0018473E" w:rsidRPr="00F635C4" w:rsidRDefault="00015EA5">
            <w:pPr>
              <w:rPr>
                <w:color w:val="000000"/>
                <w:sz w:val="20"/>
                <w:szCs w:val="20"/>
              </w:rPr>
            </w:pPr>
            <w:r w:rsidRPr="00F635C4">
              <w:rPr>
                <w:color w:val="000000"/>
                <w:sz w:val="20"/>
                <w:szCs w:val="20"/>
              </w:rPr>
              <w:t>Valoración predial</w:t>
            </w:r>
          </w:p>
        </w:tc>
        <w:tc>
          <w:tcPr>
            <w:tcW w:w="1206" w:type="dxa"/>
            <w:vAlign w:val="center"/>
          </w:tcPr>
          <w:p w14:paraId="7553B9C7" w14:textId="77777777" w:rsidR="0018473E" w:rsidRPr="00F635C4" w:rsidRDefault="00015EA5">
            <w:pPr>
              <w:rPr>
                <w:color w:val="000000"/>
                <w:sz w:val="20"/>
                <w:szCs w:val="20"/>
              </w:rPr>
            </w:pPr>
            <w:r w:rsidRPr="00F635C4">
              <w:rPr>
                <w:color w:val="000000"/>
                <w:sz w:val="20"/>
                <w:szCs w:val="20"/>
              </w:rPr>
              <w:t>4,6%</w:t>
            </w:r>
          </w:p>
        </w:tc>
        <w:tc>
          <w:tcPr>
            <w:tcW w:w="5881" w:type="dxa"/>
            <w:vAlign w:val="center"/>
          </w:tcPr>
          <w:p w14:paraId="280B0373" w14:textId="77777777" w:rsidR="0018473E" w:rsidRPr="00F635C4" w:rsidRDefault="00015EA5">
            <w:pPr>
              <w:rPr>
                <w:color w:val="000000"/>
                <w:sz w:val="20"/>
                <w:szCs w:val="20"/>
              </w:rPr>
            </w:pPr>
            <w:r w:rsidRPr="00F635C4">
              <w:rPr>
                <w:color w:val="000000"/>
                <w:sz w:val="20"/>
                <w:szCs w:val="20"/>
              </w:rPr>
              <w:t>Crecimiento del Índice de Valoración Inmobiliaria Urbana y Rural (IVIUR) para el grupo residencial urbano en el año 2024. Se asume constante en años siguientes. Se utiliza para evolucionar el valor de la base gravable del impuesto</w:t>
            </w:r>
          </w:p>
        </w:tc>
      </w:tr>
      <w:tr w:rsidR="0018473E" w:rsidRPr="00F635C4" w14:paraId="75FEAE49" w14:textId="77777777">
        <w:trPr>
          <w:trHeight w:val="193"/>
          <w:jc w:val="center"/>
        </w:trPr>
        <w:tc>
          <w:tcPr>
            <w:tcW w:w="2921" w:type="dxa"/>
            <w:vAlign w:val="center"/>
          </w:tcPr>
          <w:p w14:paraId="3AEFBC5D" w14:textId="77777777" w:rsidR="0018473E" w:rsidRPr="00F635C4" w:rsidRDefault="00015EA5">
            <w:pPr>
              <w:rPr>
                <w:color w:val="000000"/>
                <w:sz w:val="20"/>
                <w:szCs w:val="20"/>
              </w:rPr>
            </w:pPr>
            <w:r w:rsidRPr="00F635C4">
              <w:rPr>
                <w:color w:val="000000"/>
                <w:sz w:val="20"/>
                <w:szCs w:val="20"/>
              </w:rPr>
              <w:t>Intensidad de mano de obra directa por cada VIS construida</w:t>
            </w:r>
          </w:p>
        </w:tc>
        <w:tc>
          <w:tcPr>
            <w:tcW w:w="1206" w:type="dxa"/>
            <w:vAlign w:val="center"/>
          </w:tcPr>
          <w:p w14:paraId="1A1A1806" w14:textId="77777777" w:rsidR="0018473E" w:rsidRPr="00F635C4" w:rsidRDefault="0018473E">
            <w:pPr>
              <w:rPr>
                <w:color w:val="000000"/>
                <w:sz w:val="20"/>
                <w:szCs w:val="20"/>
              </w:rPr>
            </w:pPr>
          </w:p>
          <w:p w14:paraId="761868A8" w14:textId="77777777" w:rsidR="0018473E" w:rsidRPr="00F635C4" w:rsidRDefault="00015EA5">
            <w:pPr>
              <w:rPr>
                <w:color w:val="000000"/>
                <w:sz w:val="20"/>
                <w:szCs w:val="20"/>
              </w:rPr>
            </w:pPr>
            <w:r w:rsidRPr="00F635C4">
              <w:rPr>
                <w:color w:val="000000"/>
                <w:sz w:val="20"/>
                <w:szCs w:val="20"/>
              </w:rPr>
              <w:t>1.57</w:t>
            </w:r>
          </w:p>
        </w:tc>
        <w:tc>
          <w:tcPr>
            <w:tcW w:w="5881" w:type="dxa"/>
            <w:vAlign w:val="center"/>
          </w:tcPr>
          <w:p w14:paraId="2173E401" w14:textId="77777777" w:rsidR="0018473E" w:rsidRPr="00F635C4" w:rsidRDefault="00015EA5">
            <w:pPr>
              <w:rPr>
                <w:color w:val="000000"/>
                <w:sz w:val="20"/>
                <w:szCs w:val="20"/>
              </w:rPr>
            </w:pPr>
            <w:r w:rsidRPr="00F635C4">
              <w:rPr>
                <w:color w:val="000000"/>
                <w:sz w:val="20"/>
                <w:szCs w:val="20"/>
              </w:rPr>
              <w:t>Número de personas ocupadas de forma directa por cada VIS construida Fuente: Minvivienda</w:t>
            </w:r>
          </w:p>
        </w:tc>
      </w:tr>
      <w:tr w:rsidR="0018473E" w:rsidRPr="00F635C4" w14:paraId="6356C896" w14:textId="77777777">
        <w:trPr>
          <w:trHeight w:val="538"/>
          <w:jc w:val="center"/>
        </w:trPr>
        <w:tc>
          <w:tcPr>
            <w:tcW w:w="2921" w:type="dxa"/>
            <w:vAlign w:val="center"/>
          </w:tcPr>
          <w:p w14:paraId="46712200" w14:textId="77777777" w:rsidR="0018473E" w:rsidRPr="00F635C4" w:rsidRDefault="00015EA5">
            <w:pPr>
              <w:rPr>
                <w:color w:val="000000"/>
                <w:sz w:val="20"/>
                <w:szCs w:val="20"/>
              </w:rPr>
            </w:pPr>
            <w:r w:rsidRPr="00F635C4">
              <w:rPr>
                <w:color w:val="000000"/>
                <w:sz w:val="20"/>
                <w:szCs w:val="20"/>
              </w:rPr>
              <w:t>Intensidad de mano de obra directa por cada No VIS construida</w:t>
            </w:r>
          </w:p>
        </w:tc>
        <w:tc>
          <w:tcPr>
            <w:tcW w:w="1206" w:type="dxa"/>
            <w:vAlign w:val="center"/>
          </w:tcPr>
          <w:p w14:paraId="7D324106" w14:textId="77777777" w:rsidR="0018473E" w:rsidRPr="00F635C4" w:rsidRDefault="00015EA5">
            <w:pPr>
              <w:rPr>
                <w:color w:val="000000"/>
                <w:sz w:val="20"/>
                <w:szCs w:val="20"/>
              </w:rPr>
            </w:pPr>
            <w:r w:rsidRPr="00F635C4">
              <w:rPr>
                <w:color w:val="000000"/>
                <w:sz w:val="20"/>
                <w:szCs w:val="20"/>
              </w:rPr>
              <w:t>2.78</w:t>
            </w:r>
          </w:p>
        </w:tc>
        <w:tc>
          <w:tcPr>
            <w:tcW w:w="5881" w:type="dxa"/>
            <w:vAlign w:val="center"/>
          </w:tcPr>
          <w:p w14:paraId="0BF57A05" w14:textId="77777777" w:rsidR="0018473E" w:rsidRPr="00F635C4" w:rsidRDefault="00015EA5">
            <w:pPr>
              <w:rPr>
                <w:color w:val="000000"/>
                <w:sz w:val="20"/>
                <w:szCs w:val="20"/>
              </w:rPr>
            </w:pPr>
            <w:r w:rsidRPr="00F635C4">
              <w:rPr>
                <w:color w:val="000000"/>
                <w:sz w:val="20"/>
                <w:szCs w:val="20"/>
              </w:rPr>
              <w:t>Número de personas ocupadas de forma directa por cada No VIS construida Fuente: Minvivienda</w:t>
            </w:r>
          </w:p>
        </w:tc>
      </w:tr>
      <w:tr w:rsidR="0018473E" w:rsidRPr="00F635C4" w14:paraId="1E11922B" w14:textId="77777777">
        <w:trPr>
          <w:trHeight w:val="193"/>
          <w:jc w:val="center"/>
        </w:trPr>
        <w:tc>
          <w:tcPr>
            <w:tcW w:w="2921" w:type="dxa"/>
            <w:vAlign w:val="center"/>
          </w:tcPr>
          <w:p w14:paraId="135A1A3B" w14:textId="77777777" w:rsidR="0018473E" w:rsidRPr="00F635C4" w:rsidRDefault="00015EA5">
            <w:pPr>
              <w:rPr>
                <w:color w:val="000000"/>
                <w:sz w:val="20"/>
                <w:szCs w:val="20"/>
              </w:rPr>
            </w:pPr>
            <w:r w:rsidRPr="00F635C4">
              <w:rPr>
                <w:color w:val="000000"/>
                <w:sz w:val="20"/>
                <w:szCs w:val="20"/>
              </w:rPr>
              <w:t>Intensidad de mano de obra indirecta</w:t>
            </w:r>
          </w:p>
        </w:tc>
        <w:tc>
          <w:tcPr>
            <w:tcW w:w="1206" w:type="dxa"/>
            <w:vAlign w:val="center"/>
          </w:tcPr>
          <w:p w14:paraId="02AD06F4" w14:textId="77777777" w:rsidR="0018473E" w:rsidRPr="00F635C4" w:rsidRDefault="00015EA5">
            <w:pPr>
              <w:rPr>
                <w:color w:val="000000"/>
                <w:sz w:val="20"/>
                <w:szCs w:val="20"/>
              </w:rPr>
            </w:pPr>
            <w:r w:rsidRPr="00F635C4">
              <w:rPr>
                <w:color w:val="000000"/>
                <w:sz w:val="20"/>
                <w:szCs w:val="20"/>
              </w:rPr>
              <w:t>2.17</w:t>
            </w:r>
          </w:p>
        </w:tc>
        <w:tc>
          <w:tcPr>
            <w:tcW w:w="5881" w:type="dxa"/>
            <w:vAlign w:val="center"/>
          </w:tcPr>
          <w:p w14:paraId="42F076FD" w14:textId="77777777" w:rsidR="0018473E" w:rsidRPr="00F635C4" w:rsidRDefault="00015EA5">
            <w:pPr>
              <w:rPr>
                <w:color w:val="000000"/>
                <w:sz w:val="20"/>
                <w:szCs w:val="20"/>
              </w:rPr>
            </w:pPr>
            <w:r w:rsidRPr="00F635C4">
              <w:rPr>
                <w:color w:val="000000"/>
                <w:sz w:val="20"/>
                <w:szCs w:val="20"/>
              </w:rPr>
              <w:t>Número de personas ocupadas de forma indirecta por cada vivienda construida Fuente: Minvivienda</w:t>
            </w:r>
          </w:p>
        </w:tc>
      </w:tr>
    </w:tbl>
    <w:p w14:paraId="1493369C" w14:textId="77777777" w:rsidR="0018473E" w:rsidRPr="00F635C4" w:rsidRDefault="0018473E">
      <w:pPr>
        <w:pBdr>
          <w:top w:val="nil"/>
          <w:left w:val="nil"/>
          <w:bottom w:val="nil"/>
          <w:right w:val="nil"/>
          <w:between w:val="nil"/>
        </w:pBdr>
        <w:jc w:val="both"/>
        <w:rPr>
          <w:rFonts w:ascii="Arial" w:eastAsia="Arial" w:hAnsi="Arial" w:cs="Arial"/>
          <w:sz w:val="22"/>
          <w:szCs w:val="22"/>
        </w:rPr>
      </w:pPr>
    </w:p>
    <w:p w14:paraId="62013945" w14:textId="1E08A6DB" w:rsidR="0018473E" w:rsidRPr="00F635C4" w:rsidRDefault="00324460">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sz w:val="22"/>
          <w:szCs w:val="22"/>
        </w:rPr>
        <w:t>En complemento, la autora señala que el ciclo constructivo de los proyectos genera impuestos distritales en cuatro momentos: primero, el impuesto de delineación urbana al obtener la licencia e iniciar la obra; luego, el ICA por la compra de materiales; más adelante, un nuevo ICA al momento de la escrituración y venta de las unidades; y finalmente, el pago del impuesto predial por parte de los nuevos propietarios. A partir de esta secuencia, la estimación de las unidades adicionales de vivienda de interés social en estratos superiores a 4 se construyó con base en cuatro escenarios de referencia y un contrafactual: el aumento observado en las VIS licenciadas en estratos 1 a 3 tras el Decreto 89 de 2008, que otorgó por diez años la exención del impuesto de delineación urbana para este tipo de vivienda.</w:t>
      </w:r>
      <w:r w:rsidR="00015EA5" w:rsidRPr="00F635C4">
        <w:rPr>
          <w:rFonts w:ascii="Arial" w:eastAsia="Arial" w:hAnsi="Arial" w:cs="Arial"/>
          <w:color w:val="000000"/>
          <w:sz w:val="22"/>
          <w:szCs w:val="22"/>
        </w:rPr>
        <w:t xml:space="preserve"> (Tabla 9):</w:t>
      </w:r>
    </w:p>
    <w:p w14:paraId="4525A2AF" w14:textId="77777777" w:rsidR="0018473E" w:rsidRPr="00F635C4" w:rsidRDefault="0018473E">
      <w:pPr>
        <w:pBdr>
          <w:top w:val="nil"/>
          <w:left w:val="nil"/>
          <w:bottom w:val="nil"/>
          <w:right w:val="nil"/>
          <w:between w:val="nil"/>
        </w:pBdr>
        <w:jc w:val="both"/>
        <w:rPr>
          <w:rFonts w:ascii="Arial" w:eastAsia="Arial" w:hAnsi="Arial" w:cs="Arial"/>
          <w:color w:val="000000"/>
          <w:sz w:val="22"/>
          <w:szCs w:val="22"/>
        </w:rPr>
      </w:pPr>
    </w:p>
    <w:p w14:paraId="4FDEFE6C" w14:textId="77777777" w:rsidR="0018473E" w:rsidRPr="00F635C4" w:rsidRDefault="00015EA5">
      <w:pPr>
        <w:jc w:val="center"/>
        <w:rPr>
          <w:rFonts w:ascii="Arial" w:eastAsia="Arial" w:hAnsi="Arial" w:cs="Arial"/>
          <w:b/>
          <w:i/>
          <w:sz w:val="22"/>
          <w:szCs w:val="22"/>
        </w:rPr>
      </w:pPr>
      <w:r w:rsidRPr="00F635C4">
        <w:rPr>
          <w:rFonts w:ascii="Arial" w:eastAsia="Arial" w:hAnsi="Arial" w:cs="Arial"/>
          <w:b/>
          <w:i/>
          <w:sz w:val="22"/>
          <w:szCs w:val="22"/>
        </w:rPr>
        <w:t>Tabla 9. Escenarios considerados en la estimación</w:t>
      </w:r>
    </w:p>
    <w:tbl>
      <w:tblPr>
        <w:tblStyle w:val="a7"/>
        <w:tblW w:w="9799"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696"/>
        <w:gridCol w:w="8103"/>
      </w:tblGrid>
      <w:tr w:rsidR="0018473E" w:rsidRPr="00F635C4" w14:paraId="220BCCB3" w14:textId="77777777">
        <w:trPr>
          <w:trHeight w:val="114"/>
          <w:jc w:val="center"/>
        </w:trPr>
        <w:tc>
          <w:tcPr>
            <w:tcW w:w="1696" w:type="dxa"/>
            <w:vAlign w:val="center"/>
          </w:tcPr>
          <w:p w14:paraId="38D34FD3" w14:textId="77777777" w:rsidR="0018473E" w:rsidRPr="00F635C4" w:rsidRDefault="00015EA5">
            <w:pPr>
              <w:rPr>
                <w:b/>
                <w:color w:val="404040"/>
              </w:rPr>
            </w:pPr>
            <w:r w:rsidRPr="00F635C4">
              <w:rPr>
                <w:b/>
                <w:color w:val="404040"/>
              </w:rPr>
              <w:t>Escenarios</w:t>
            </w:r>
          </w:p>
        </w:tc>
        <w:tc>
          <w:tcPr>
            <w:tcW w:w="8103" w:type="dxa"/>
            <w:vAlign w:val="center"/>
          </w:tcPr>
          <w:p w14:paraId="1DAA1C49" w14:textId="77777777" w:rsidR="0018473E" w:rsidRPr="00F635C4" w:rsidRDefault="00015EA5">
            <w:pPr>
              <w:rPr>
                <w:b/>
                <w:color w:val="404040"/>
              </w:rPr>
            </w:pPr>
            <w:r w:rsidRPr="00F635C4">
              <w:rPr>
                <w:b/>
                <w:color w:val="404040"/>
              </w:rPr>
              <w:t>Metodología de cálculo</w:t>
            </w:r>
          </w:p>
        </w:tc>
      </w:tr>
      <w:tr w:rsidR="0018473E" w:rsidRPr="00F635C4" w14:paraId="7063B2A5" w14:textId="77777777">
        <w:trPr>
          <w:trHeight w:val="114"/>
          <w:jc w:val="center"/>
        </w:trPr>
        <w:tc>
          <w:tcPr>
            <w:tcW w:w="1696" w:type="dxa"/>
            <w:vAlign w:val="center"/>
          </w:tcPr>
          <w:p w14:paraId="39B8C100" w14:textId="77777777" w:rsidR="0018473E" w:rsidRPr="00F635C4" w:rsidRDefault="00015EA5">
            <w:r w:rsidRPr="00F635C4">
              <w:t>Escenario 1</w:t>
            </w:r>
          </w:p>
          <w:p w14:paraId="7FD0EBE5" w14:textId="77777777" w:rsidR="0018473E" w:rsidRPr="00F635C4" w:rsidRDefault="00015EA5">
            <w:r w:rsidRPr="00F635C4">
              <w:t>(Promedio)</w:t>
            </w:r>
          </w:p>
        </w:tc>
        <w:tc>
          <w:tcPr>
            <w:tcW w:w="8103" w:type="dxa"/>
            <w:vAlign w:val="center"/>
          </w:tcPr>
          <w:p w14:paraId="0CF6BAAA" w14:textId="77777777" w:rsidR="0018473E" w:rsidRPr="00F635C4" w:rsidRDefault="00015EA5">
            <w:pPr>
              <w:pBdr>
                <w:top w:val="nil"/>
                <w:left w:val="nil"/>
                <w:bottom w:val="nil"/>
                <w:right w:val="nil"/>
                <w:between w:val="nil"/>
              </w:pBdr>
              <w:rPr>
                <w:color w:val="000000"/>
              </w:rPr>
            </w:pPr>
            <w:r w:rsidRPr="00F635C4">
              <w:t>Se estima un aumento del 20,5% en el número de viviendas licenciadas en estratos superiores a 4. Para este incremento se tomó como referencia el aumento promedio de las unidades licenciadas para vivienda de interés social en estratos 1 a 3 durante los diez años de la medida (2009-2018)</w:t>
            </w:r>
          </w:p>
        </w:tc>
      </w:tr>
      <w:tr w:rsidR="0018473E" w:rsidRPr="00F635C4" w14:paraId="39EBF573" w14:textId="77777777">
        <w:trPr>
          <w:trHeight w:val="114"/>
          <w:jc w:val="center"/>
        </w:trPr>
        <w:tc>
          <w:tcPr>
            <w:tcW w:w="1696" w:type="dxa"/>
            <w:vAlign w:val="center"/>
          </w:tcPr>
          <w:p w14:paraId="3BC94832" w14:textId="77777777" w:rsidR="0018473E" w:rsidRPr="00F635C4" w:rsidRDefault="00015EA5">
            <w:r w:rsidRPr="00F635C4">
              <w:t>Escenario 2</w:t>
            </w:r>
          </w:p>
        </w:tc>
        <w:tc>
          <w:tcPr>
            <w:tcW w:w="8103" w:type="dxa"/>
            <w:vAlign w:val="center"/>
          </w:tcPr>
          <w:p w14:paraId="33E38181" w14:textId="77777777" w:rsidR="0018473E" w:rsidRPr="00F635C4" w:rsidRDefault="00015EA5">
            <w:r w:rsidRPr="00F635C4">
              <w:t>Se estima un aumento del 24,4% en el número de viviendas licenciadas en estratos superiores a 4. Para este incremento se tomó como referencia el aumento promedio de las unidades licenciadas para vivienda de interés social en estratos 1 a 3 durante los siete primeros años de la medida 2009-2015.</w:t>
            </w:r>
          </w:p>
        </w:tc>
      </w:tr>
      <w:tr w:rsidR="0018473E" w:rsidRPr="00F635C4" w14:paraId="22C109E5" w14:textId="77777777">
        <w:trPr>
          <w:trHeight w:val="114"/>
          <w:jc w:val="center"/>
        </w:trPr>
        <w:tc>
          <w:tcPr>
            <w:tcW w:w="1696" w:type="dxa"/>
            <w:vAlign w:val="center"/>
          </w:tcPr>
          <w:p w14:paraId="2C341079" w14:textId="77777777" w:rsidR="0018473E" w:rsidRPr="00F635C4" w:rsidRDefault="00015EA5">
            <w:r w:rsidRPr="00F635C4">
              <w:t>Escenario 3</w:t>
            </w:r>
          </w:p>
        </w:tc>
        <w:tc>
          <w:tcPr>
            <w:tcW w:w="8103" w:type="dxa"/>
            <w:vAlign w:val="center"/>
          </w:tcPr>
          <w:p w14:paraId="6468C7AC" w14:textId="77777777" w:rsidR="0018473E" w:rsidRPr="00F635C4" w:rsidRDefault="00015EA5">
            <w:r w:rsidRPr="00F635C4">
              <w:t>Se estima un aumento del 29% en el número de viviendas licenciadas en estratos superiores a 4. Para este incremento se tomó como referencia el aumento promedio de las unidades licenciadas para vivienda de interés social en estratos 1 a 3 durante los cinco primeros años de la medida 2009-2013.</w:t>
            </w:r>
          </w:p>
        </w:tc>
      </w:tr>
      <w:tr w:rsidR="0018473E" w:rsidRPr="00F635C4" w14:paraId="56D37EF3" w14:textId="77777777">
        <w:trPr>
          <w:trHeight w:val="114"/>
          <w:jc w:val="center"/>
        </w:trPr>
        <w:tc>
          <w:tcPr>
            <w:tcW w:w="1696" w:type="dxa"/>
            <w:vAlign w:val="center"/>
          </w:tcPr>
          <w:p w14:paraId="62A56C0F" w14:textId="77777777" w:rsidR="0018473E" w:rsidRPr="00F635C4" w:rsidRDefault="00015EA5">
            <w:r w:rsidRPr="00F635C4">
              <w:t>Escenario 4</w:t>
            </w:r>
          </w:p>
        </w:tc>
        <w:tc>
          <w:tcPr>
            <w:tcW w:w="8103" w:type="dxa"/>
            <w:vAlign w:val="center"/>
          </w:tcPr>
          <w:p w14:paraId="7F2F5B6E" w14:textId="77777777" w:rsidR="0018473E" w:rsidRPr="00F635C4" w:rsidRDefault="00015EA5">
            <w:r w:rsidRPr="00F635C4">
              <w:t>Se estima un aumento del 34,5% en el número de viviendas licenciadas en estratos superiores a 4. Para este incremento se tomó como referencia el aumento promedio de las unidades licenciadas para vivienda de interés social en estratos 1 a 3 durante los dos primeros años de la medida 2009-2010.</w:t>
            </w:r>
          </w:p>
        </w:tc>
      </w:tr>
    </w:tbl>
    <w:p w14:paraId="0ABA1103" w14:textId="77777777" w:rsidR="0018473E" w:rsidRPr="00F635C4" w:rsidRDefault="0018473E">
      <w:pPr>
        <w:rPr>
          <w:rFonts w:ascii="Arial" w:eastAsia="Arial" w:hAnsi="Arial" w:cs="Arial"/>
          <w:b/>
          <w:color w:val="434343"/>
          <w:sz w:val="22"/>
          <w:szCs w:val="22"/>
        </w:rPr>
      </w:pPr>
    </w:p>
    <w:p w14:paraId="1F2B66AD" w14:textId="25FE65FF"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2.3.3.2. RESULTADOS</w:t>
      </w:r>
      <w:r w:rsidR="00DD085E" w:rsidRPr="00F635C4">
        <w:rPr>
          <w:rFonts w:ascii="Arial" w:eastAsia="Arial" w:hAnsi="Arial" w:cs="Arial"/>
          <w:b/>
          <w:sz w:val="22"/>
          <w:szCs w:val="22"/>
        </w:rPr>
        <w:t xml:space="preserve"> DEL ANÁLISIS ELABORADO POR LA AUTORA</w:t>
      </w:r>
    </w:p>
    <w:p w14:paraId="5F0EB25E" w14:textId="77777777" w:rsidR="0018473E" w:rsidRPr="00F635C4" w:rsidRDefault="0018473E">
      <w:pPr>
        <w:rPr>
          <w:rFonts w:ascii="Arial" w:hAnsi="Arial" w:cs="Arial"/>
        </w:rPr>
      </w:pPr>
    </w:p>
    <w:p w14:paraId="51DDB0D7" w14:textId="4F51A851" w:rsidR="0018473E" w:rsidRPr="00F635C4" w:rsidRDefault="00324460">
      <w:pPr>
        <w:jc w:val="both"/>
        <w:rPr>
          <w:rFonts w:ascii="Arial" w:eastAsia="Arial" w:hAnsi="Arial" w:cs="Arial"/>
          <w:sz w:val="22"/>
          <w:szCs w:val="22"/>
        </w:rPr>
      </w:pPr>
      <w:r w:rsidRPr="00F635C4">
        <w:rPr>
          <w:rFonts w:ascii="Arial" w:eastAsia="Arial" w:hAnsi="Arial" w:cs="Arial"/>
          <w:sz w:val="22"/>
          <w:szCs w:val="22"/>
        </w:rPr>
        <w:t xml:space="preserve">La autora explica que el costo tributario de la medida corresponde a los impuestos de delineación urbana que el Distrito dejaría de recibir por el descuento aplicado a las viviendas sociales en estratos mayores a 4 durante los diez años del beneficio. En contraste, los beneficios fiscales incluyen los ingresos por ICA de materiales, el ICA de las ventas de las unidades y el impuesto predial asociado a estas viviendas. Bajo el escenario de ocurrencia más probable, se proyecta el inicio de 9.006 viviendas sociales en estratos 4 o superiores en la próxima década, las cuales generarían un flujo de ingresos tributarios estimado en $263.384 millones hasta el final de la medida, cuando deje de aplicarse a las viviendas iniciadas en el año 10. </w:t>
      </w:r>
      <w:r w:rsidR="00015EA5" w:rsidRPr="00F635C4">
        <w:rPr>
          <w:rFonts w:ascii="Arial" w:eastAsia="Arial" w:hAnsi="Arial" w:cs="Arial"/>
          <w:sz w:val="22"/>
          <w:szCs w:val="22"/>
        </w:rPr>
        <w:t>(Ver Tabla 10)</w:t>
      </w:r>
    </w:p>
    <w:p w14:paraId="40D60923" w14:textId="77777777" w:rsidR="0018473E" w:rsidRPr="00F635C4" w:rsidRDefault="0018473E">
      <w:pPr>
        <w:jc w:val="both"/>
        <w:rPr>
          <w:rFonts w:ascii="Arial" w:eastAsia="Arial" w:hAnsi="Arial" w:cs="Arial"/>
          <w:sz w:val="22"/>
          <w:szCs w:val="22"/>
        </w:rPr>
      </w:pPr>
    </w:p>
    <w:p w14:paraId="6E29662B" w14:textId="77777777" w:rsidR="0018473E" w:rsidRPr="00F635C4" w:rsidRDefault="00015EA5">
      <w:pPr>
        <w:jc w:val="center"/>
        <w:rPr>
          <w:rFonts w:ascii="Arial" w:eastAsia="Arial" w:hAnsi="Arial" w:cs="Arial"/>
          <w:b/>
          <w:i/>
          <w:sz w:val="22"/>
          <w:szCs w:val="22"/>
        </w:rPr>
      </w:pPr>
      <w:r w:rsidRPr="00F635C4">
        <w:rPr>
          <w:rFonts w:ascii="Arial" w:eastAsia="Arial" w:hAnsi="Arial" w:cs="Arial"/>
          <w:b/>
          <w:i/>
          <w:sz w:val="22"/>
          <w:szCs w:val="22"/>
        </w:rPr>
        <w:t>Tabla 10. Análisis de costos y beneficios fiscales-Escenario promedio. Cifras en millones de pesos corrientes</w:t>
      </w:r>
    </w:p>
    <w:p w14:paraId="45417363" w14:textId="77777777" w:rsidR="0018473E" w:rsidRPr="00F635C4" w:rsidRDefault="0018473E">
      <w:pPr>
        <w:jc w:val="center"/>
        <w:rPr>
          <w:rFonts w:ascii="Arial" w:eastAsia="Arial" w:hAnsi="Arial" w:cs="Arial"/>
          <w:b/>
          <w:i/>
          <w:sz w:val="22"/>
          <w:szCs w:val="22"/>
        </w:rPr>
      </w:pPr>
    </w:p>
    <w:tbl>
      <w:tblPr>
        <w:tblStyle w:val="a8"/>
        <w:tblW w:w="92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572"/>
        <w:gridCol w:w="820"/>
        <w:gridCol w:w="1115"/>
        <w:gridCol w:w="1224"/>
        <w:gridCol w:w="1124"/>
        <w:gridCol w:w="1123"/>
        <w:gridCol w:w="1124"/>
        <w:gridCol w:w="1262"/>
        <w:gridCol w:w="904"/>
      </w:tblGrid>
      <w:tr w:rsidR="0018473E" w:rsidRPr="00F635C4" w14:paraId="2CA49D1E" w14:textId="77777777">
        <w:trPr>
          <w:trHeight w:val="64"/>
        </w:trPr>
        <w:tc>
          <w:tcPr>
            <w:tcW w:w="572" w:type="dxa"/>
            <w:vMerge w:val="restart"/>
            <w:vAlign w:val="center"/>
          </w:tcPr>
          <w:p w14:paraId="7AF468DD" w14:textId="77777777" w:rsidR="0018473E" w:rsidRPr="00F635C4" w:rsidRDefault="00015EA5">
            <w:pPr>
              <w:jc w:val="center"/>
              <w:rPr>
                <w:rFonts w:ascii="Arial" w:eastAsia="Arial" w:hAnsi="Arial" w:cs="Arial"/>
                <w:b/>
                <w:sz w:val="16"/>
                <w:szCs w:val="16"/>
              </w:rPr>
            </w:pPr>
            <w:r w:rsidRPr="00F635C4">
              <w:rPr>
                <w:rFonts w:ascii="Arial" w:eastAsia="Arial" w:hAnsi="Arial" w:cs="Arial"/>
                <w:b/>
                <w:sz w:val="16"/>
                <w:szCs w:val="16"/>
              </w:rPr>
              <w:t>t</w:t>
            </w:r>
          </w:p>
        </w:tc>
        <w:tc>
          <w:tcPr>
            <w:tcW w:w="820" w:type="dxa"/>
            <w:vMerge w:val="restart"/>
            <w:vAlign w:val="center"/>
          </w:tcPr>
          <w:p w14:paraId="0D67E691" w14:textId="77777777" w:rsidR="0018473E" w:rsidRPr="00F635C4" w:rsidRDefault="00015EA5">
            <w:pPr>
              <w:jc w:val="center"/>
              <w:rPr>
                <w:rFonts w:ascii="Arial" w:eastAsia="Arial" w:hAnsi="Arial" w:cs="Arial"/>
                <w:b/>
                <w:sz w:val="16"/>
                <w:szCs w:val="16"/>
              </w:rPr>
            </w:pPr>
            <w:r w:rsidRPr="00F635C4">
              <w:rPr>
                <w:rFonts w:ascii="Arial" w:eastAsia="Arial" w:hAnsi="Arial" w:cs="Arial"/>
                <w:b/>
                <w:sz w:val="16"/>
                <w:szCs w:val="16"/>
              </w:rPr>
              <w:t>Unids. Totales</w:t>
            </w:r>
          </w:p>
        </w:tc>
        <w:tc>
          <w:tcPr>
            <w:tcW w:w="1115" w:type="dxa"/>
            <w:vMerge w:val="restart"/>
            <w:vAlign w:val="center"/>
          </w:tcPr>
          <w:p w14:paraId="6604FAF3" w14:textId="77777777" w:rsidR="0018473E" w:rsidRPr="00F635C4" w:rsidRDefault="00015EA5">
            <w:pPr>
              <w:jc w:val="center"/>
              <w:rPr>
                <w:rFonts w:ascii="Arial" w:eastAsia="Arial" w:hAnsi="Arial" w:cs="Arial"/>
                <w:b/>
                <w:sz w:val="16"/>
                <w:szCs w:val="16"/>
              </w:rPr>
            </w:pPr>
            <w:r w:rsidRPr="00F635C4">
              <w:rPr>
                <w:rFonts w:ascii="Arial" w:eastAsia="Arial" w:hAnsi="Arial" w:cs="Arial"/>
                <w:b/>
                <w:sz w:val="16"/>
                <w:szCs w:val="16"/>
              </w:rPr>
              <w:t>Unids. Adicionales</w:t>
            </w:r>
          </w:p>
        </w:tc>
        <w:tc>
          <w:tcPr>
            <w:tcW w:w="1224" w:type="dxa"/>
            <w:shd w:val="clear" w:color="auto" w:fill="FFCCCC"/>
            <w:vAlign w:val="center"/>
          </w:tcPr>
          <w:p w14:paraId="681C37E8" w14:textId="77777777" w:rsidR="0018473E" w:rsidRPr="00F635C4" w:rsidRDefault="00015EA5">
            <w:pPr>
              <w:jc w:val="center"/>
              <w:rPr>
                <w:rFonts w:ascii="Arial" w:eastAsia="Arial" w:hAnsi="Arial" w:cs="Arial"/>
                <w:b/>
                <w:color w:val="C00000"/>
                <w:sz w:val="16"/>
                <w:szCs w:val="16"/>
              </w:rPr>
            </w:pPr>
            <w:r w:rsidRPr="00F635C4">
              <w:rPr>
                <w:rFonts w:ascii="Arial" w:eastAsia="Arial" w:hAnsi="Arial" w:cs="Arial"/>
                <w:b/>
                <w:color w:val="C00000"/>
                <w:sz w:val="16"/>
                <w:szCs w:val="16"/>
              </w:rPr>
              <w:t> Costo</w:t>
            </w:r>
          </w:p>
        </w:tc>
        <w:tc>
          <w:tcPr>
            <w:tcW w:w="5537" w:type="dxa"/>
            <w:gridSpan w:val="5"/>
            <w:shd w:val="clear" w:color="auto" w:fill="EBF1DD"/>
            <w:vAlign w:val="center"/>
          </w:tcPr>
          <w:p w14:paraId="1D99B43F" w14:textId="77777777" w:rsidR="0018473E" w:rsidRPr="00F635C4" w:rsidRDefault="00015EA5">
            <w:pPr>
              <w:jc w:val="center"/>
              <w:rPr>
                <w:rFonts w:ascii="Arial" w:eastAsia="Arial" w:hAnsi="Arial" w:cs="Arial"/>
                <w:b/>
                <w:color w:val="4F6228"/>
                <w:sz w:val="16"/>
                <w:szCs w:val="16"/>
              </w:rPr>
            </w:pPr>
            <w:r w:rsidRPr="00F635C4">
              <w:rPr>
                <w:rFonts w:ascii="Arial" w:eastAsia="Arial" w:hAnsi="Arial" w:cs="Arial"/>
                <w:b/>
                <w:color w:val="4F6228"/>
                <w:sz w:val="16"/>
                <w:szCs w:val="16"/>
              </w:rPr>
              <w:t>Beneficio</w:t>
            </w:r>
          </w:p>
        </w:tc>
      </w:tr>
      <w:tr w:rsidR="0018473E" w:rsidRPr="00F635C4" w14:paraId="3656CEAF" w14:textId="77777777">
        <w:trPr>
          <w:trHeight w:val="443"/>
        </w:trPr>
        <w:tc>
          <w:tcPr>
            <w:tcW w:w="572" w:type="dxa"/>
            <w:vMerge/>
            <w:vAlign w:val="center"/>
          </w:tcPr>
          <w:p w14:paraId="422C65A2" w14:textId="77777777" w:rsidR="0018473E" w:rsidRPr="00F635C4" w:rsidRDefault="0018473E">
            <w:pPr>
              <w:widowControl w:val="0"/>
              <w:pBdr>
                <w:top w:val="nil"/>
                <w:left w:val="nil"/>
                <w:bottom w:val="nil"/>
                <w:right w:val="nil"/>
                <w:between w:val="nil"/>
              </w:pBdr>
              <w:spacing w:line="276" w:lineRule="auto"/>
              <w:rPr>
                <w:rFonts w:ascii="Arial" w:eastAsia="Arial" w:hAnsi="Arial" w:cs="Arial"/>
                <w:b/>
                <w:color w:val="4F6228"/>
                <w:sz w:val="16"/>
                <w:szCs w:val="16"/>
              </w:rPr>
            </w:pPr>
          </w:p>
        </w:tc>
        <w:tc>
          <w:tcPr>
            <w:tcW w:w="820" w:type="dxa"/>
            <w:vMerge/>
            <w:vAlign w:val="center"/>
          </w:tcPr>
          <w:p w14:paraId="3C43DA9C" w14:textId="77777777" w:rsidR="0018473E" w:rsidRPr="00F635C4" w:rsidRDefault="0018473E">
            <w:pPr>
              <w:widowControl w:val="0"/>
              <w:pBdr>
                <w:top w:val="nil"/>
                <w:left w:val="nil"/>
                <w:bottom w:val="nil"/>
                <w:right w:val="nil"/>
                <w:between w:val="nil"/>
              </w:pBdr>
              <w:spacing w:line="276" w:lineRule="auto"/>
              <w:rPr>
                <w:rFonts w:ascii="Arial" w:eastAsia="Arial" w:hAnsi="Arial" w:cs="Arial"/>
                <w:b/>
                <w:color w:val="4F6228"/>
                <w:sz w:val="16"/>
                <w:szCs w:val="16"/>
              </w:rPr>
            </w:pPr>
          </w:p>
        </w:tc>
        <w:tc>
          <w:tcPr>
            <w:tcW w:w="1115" w:type="dxa"/>
            <w:vMerge/>
            <w:vAlign w:val="center"/>
          </w:tcPr>
          <w:p w14:paraId="12265596" w14:textId="77777777" w:rsidR="0018473E" w:rsidRPr="00F635C4" w:rsidRDefault="0018473E">
            <w:pPr>
              <w:widowControl w:val="0"/>
              <w:pBdr>
                <w:top w:val="nil"/>
                <w:left w:val="nil"/>
                <w:bottom w:val="nil"/>
                <w:right w:val="nil"/>
                <w:between w:val="nil"/>
              </w:pBdr>
              <w:spacing w:line="276" w:lineRule="auto"/>
              <w:rPr>
                <w:rFonts w:ascii="Arial" w:eastAsia="Arial" w:hAnsi="Arial" w:cs="Arial"/>
                <w:b/>
                <w:color w:val="4F6228"/>
                <w:sz w:val="16"/>
                <w:szCs w:val="16"/>
              </w:rPr>
            </w:pPr>
          </w:p>
        </w:tc>
        <w:tc>
          <w:tcPr>
            <w:tcW w:w="1224" w:type="dxa"/>
            <w:shd w:val="clear" w:color="auto" w:fill="FFCCCC"/>
            <w:vAlign w:val="center"/>
          </w:tcPr>
          <w:p w14:paraId="63AE16D5" w14:textId="77777777" w:rsidR="0018473E" w:rsidRPr="00F635C4" w:rsidRDefault="00015EA5">
            <w:pPr>
              <w:jc w:val="center"/>
              <w:rPr>
                <w:rFonts w:ascii="Arial" w:eastAsia="Arial" w:hAnsi="Arial" w:cs="Arial"/>
                <w:b/>
                <w:color w:val="C00000"/>
                <w:sz w:val="16"/>
                <w:szCs w:val="16"/>
              </w:rPr>
            </w:pPr>
            <w:r w:rsidRPr="00F635C4">
              <w:rPr>
                <w:rFonts w:ascii="Arial" w:eastAsia="Arial" w:hAnsi="Arial" w:cs="Arial"/>
                <w:b/>
                <w:color w:val="C00000"/>
                <w:sz w:val="16"/>
                <w:szCs w:val="16"/>
              </w:rPr>
              <w:t>Delineación urbana</w:t>
            </w:r>
          </w:p>
        </w:tc>
        <w:tc>
          <w:tcPr>
            <w:tcW w:w="1124" w:type="dxa"/>
            <w:shd w:val="clear" w:color="auto" w:fill="EBF1DD"/>
            <w:vAlign w:val="center"/>
          </w:tcPr>
          <w:p w14:paraId="28AEE430" w14:textId="77777777" w:rsidR="0018473E" w:rsidRPr="00F635C4" w:rsidRDefault="00015EA5">
            <w:pPr>
              <w:jc w:val="center"/>
              <w:rPr>
                <w:rFonts w:ascii="Arial" w:eastAsia="Arial" w:hAnsi="Arial" w:cs="Arial"/>
                <w:b/>
                <w:color w:val="4F6228"/>
                <w:sz w:val="16"/>
                <w:szCs w:val="16"/>
              </w:rPr>
            </w:pPr>
            <w:r w:rsidRPr="00F635C4">
              <w:rPr>
                <w:rFonts w:ascii="Arial" w:eastAsia="Arial" w:hAnsi="Arial" w:cs="Arial"/>
                <w:b/>
                <w:color w:val="4F6228"/>
                <w:sz w:val="16"/>
                <w:szCs w:val="16"/>
              </w:rPr>
              <w:t>Delineación urbana</w:t>
            </w:r>
          </w:p>
        </w:tc>
        <w:tc>
          <w:tcPr>
            <w:tcW w:w="1123" w:type="dxa"/>
            <w:shd w:val="clear" w:color="auto" w:fill="EBF1DD"/>
            <w:vAlign w:val="center"/>
          </w:tcPr>
          <w:p w14:paraId="5874D41C" w14:textId="77777777" w:rsidR="0018473E" w:rsidRPr="00F635C4" w:rsidRDefault="00015EA5">
            <w:pPr>
              <w:jc w:val="center"/>
              <w:rPr>
                <w:rFonts w:ascii="Arial" w:eastAsia="Arial" w:hAnsi="Arial" w:cs="Arial"/>
                <w:b/>
                <w:color w:val="4F6228"/>
                <w:sz w:val="16"/>
                <w:szCs w:val="16"/>
              </w:rPr>
            </w:pPr>
            <w:r w:rsidRPr="00F635C4">
              <w:rPr>
                <w:rFonts w:ascii="Arial" w:eastAsia="Arial" w:hAnsi="Arial" w:cs="Arial"/>
                <w:b/>
                <w:color w:val="4F6228"/>
                <w:sz w:val="16"/>
                <w:szCs w:val="16"/>
              </w:rPr>
              <w:t>ICA materiales</w:t>
            </w:r>
          </w:p>
        </w:tc>
        <w:tc>
          <w:tcPr>
            <w:tcW w:w="1124" w:type="dxa"/>
            <w:shd w:val="clear" w:color="auto" w:fill="EBF1DD"/>
            <w:vAlign w:val="center"/>
          </w:tcPr>
          <w:p w14:paraId="14FA2BBD" w14:textId="77777777" w:rsidR="0018473E" w:rsidRPr="00F635C4" w:rsidRDefault="00015EA5">
            <w:pPr>
              <w:jc w:val="center"/>
              <w:rPr>
                <w:rFonts w:ascii="Arial" w:eastAsia="Arial" w:hAnsi="Arial" w:cs="Arial"/>
                <w:b/>
                <w:color w:val="4F6228"/>
                <w:sz w:val="16"/>
                <w:szCs w:val="16"/>
              </w:rPr>
            </w:pPr>
            <w:r w:rsidRPr="00F635C4">
              <w:rPr>
                <w:rFonts w:ascii="Arial" w:eastAsia="Arial" w:hAnsi="Arial" w:cs="Arial"/>
                <w:b/>
                <w:color w:val="4F6228"/>
                <w:sz w:val="16"/>
                <w:szCs w:val="16"/>
              </w:rPr>
              <w:t>ICA venta</w:t>
            </w:r>
          </w:p>
        </w:tc>
        <w:tc>
          <w:tcPr>
            <w:tcW w:w="1262" w:type="dxa"/>
            <w:shd w:val="clear" w:color="auto" w:fill="EBF1DD"/>
            <w:vAlign w:val="center"/>
          </w:tcPr>
          <w:p w14:paraId="5C6CA4E9" w14:textId="77777777" w:rsidR="0018473E" w:rsidRPr="00F635C4" w:rsidRDefault="00015EA5">
            <w:pPr>
              <w:jc w:val="center"/>
              <w:rPr>
                <w:rFonts w:ascii="Arial" w:eastAsia="Arial" w:hAnsi="Arial" w:cs="Arial"/>
                <w:b/>
                <w:color w:val="4F6228"/>
                <w:sz w:val="16"/>
                <w:szCs w:val="16"/>
              </w:rPr>
            </w:pPr>
            <w:r w:rsidRPr="00F635C4">
              <w:rPr>
                <w:rFonts w:ascii="Arial" w:eastAsia="Arial" w:hAnsi="Arial" w:cs="Arial"/>
                <w:b/>
                <w:color w:val="4F6228"/>
                <w:sz w:val="16"/>
                <w:szCs w:val="16"/>
              </w:rPr>
              <w:t>Predial completo</w:t>
            </w:r>
          </w:p>
        </w:tc>
        <w:tc>
          <w:tcPr>
            <w:tcW w:w="904" w:type="dxa"/>
            <w:shd w:val="clear" w:color="auto" w:fill="EBF1DD"/>
            <w:vAlign w:val="center"/>
          </w:tcPr>
          <w:p w14:paraId="4EFF61C6" w14:textId="77777777" w:rsidR="0018473E" w:rsidRPr="00F635C4" w:rsidRDefault="00015EA5">
            <w:pPr>
              <w:jc w:val="center"/>
              <w:rPr>
                <w:rFonts w:ascii="Arial" w:eastAsia="Arial" w:hAnsi="Arial" w:cs="Arial"/>
                <w:b/>
                <w:color w:val="4F6228"/>
                <w:sz w:val="16"/>
                <w:szCs w:val="16"/>
              </w:rPr>
            </w:pPr>
            <w:r w:rsidRPr="00F635C4">
              <w:rPr>
                <w:rFonts w:ascii="Arial" w:eastAsia="Arial" w:hAnsi="Arial" w:cs="Arial"/>
                <w:b/>
                <w:color w:val="4F6228"/>
                <w:sz w:val="16"/>
                <w:szCs w:val="16"/>
              </w:rPr>
              <w:t>Total</w:t>
            </w:r>
          </w:p>
        </w:tc>
      </w:tr>
      <w:tr w:rsidR="0018473E" w:rsidRPr="00F635C4" w14:paraId="62C2FA6D" w14:textId="77777777">
        <w:trPr>
          <w:trHeight w:val="320"/>
        </w:trPr>
        <w:tc>
          <w:tcPr>
            <w:tcW w:w="572" w:type="dxa"/>
            <w:vAlign w:val="center"/>
          </w:tcPr>
          <w:p w14:paraId="3B43DCAD"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w:t>
            </w:r>
          </w:p>
        </w:tc>
        <w:tc>
          <w:tcPr>
            <w:tcW w:w="820" w:type="dxa"/>
            <w:vAlign w:val="center"/>
          </w:tcPr>
          <w:p w14:paraId="3575AF2B"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9,141</w:t>
            </w:r>
          </w:p>
        </w:tc>
        <w:tc>
          <w:tcPr>
            <w:tcW w:w="1115" w:type="dxa"/>
            <w:vAlign w:val="center"/>
          </w:tcPr>
          <w:p w14:paraId="7ECDC1AF"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1,556</w:t>
            </w:r>
          </w:p>
        </w:tc>
        <w:tc>
          <w:tcPr>
            <w:tcW w:w="1224" w:type="dxa"/>
            <w:vAlign w:val="center"/>
          </w:tcPr>
          <w:p w14:paraId="368C5833"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19,060   </w:t>
            </w:r>
          </w:p>
        </w:tc>
        <w:tc>
          <w:tcPr>
            <w:tcW w:w="1124" w:type="dxa"/>
            <w:vAlign w:val="center"/>
          </w:tcPr>
          <w:p w14:paraId="41207FA8"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10,263   </w:t>
            </w:r>
          </w:p>
        </w:tc>
        <w:tc>
          <w:tcPr>
            <w:tcW w:w="1123" w:type="dxa"/>
            <w:vAlign w:val="center"/>
          </w:tcPr>
          <w:p w14:paraId="16CE35C9"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1,975   </w:t>
            </w:r>
          </w:p>
        </w:tc>
        <w:tc>
          <w:tcPr>
            <w:tcW w:w="1124" w:type="dxa"/>
            <w:vAlign w:val="center"/>
          </w:tcPr>
          <w:p w14:paraId="7FF22D1E"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     </w:t>
            </w:r>
          </w:p>
        </w:tc>
        <w:tc>
          <w:tcPr>
            <w:tcW w:w="1262" w:type="dxa"/>
            <w:vAlign w:val="center"/>
          </w:tcPr>
          <w:p w14:paraId="08B9D495"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     </w:t>
            </w:r>
          </w:p>
        </w:tc>
        <w:tc>
          <w:tcPr>
            <w:tcW w:w="904" w:type="dxa"/>
            <w:vAlign w:val="center"/>
          </w:tcPr>
          <w:p w14:paraId="5C1D1532"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12,238   </w:t>
            </w:r>
          </w:p>
        </w:tc>
      </w:tr>
      <w:tr w:rsidR="0018473E" w:rsidRPr="00F635C4" w14:paraId="695EFA5C" w14:textId="77777777">
        <w:trPr>
          <w:trHeight w:val="320"/>
        </w:trPr>
        <w:tc>
          <w:tcPr>
            <w:tcW w:w="572" w:type="dxa"/>
            <w:vAlign w:val="center"/>
          </w:tcPr>
          <w:p w14:paraId="6D0E0A93"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2</w:t>
            </w:r>
          </w:p>
        </w:tc>
        <w:tc>
          <w:tcPr>
            <w:tcW w:w="820" w:type="dxa"/>
            <w:vAlign w:val="center"/>
          </w:tcPr>
          <w:p w14:paraId="4EB8A795"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8,108</w:t>
            </w:r>
          </w:p>
        </w:tc>
        <w:tc>
          <w:tcPr>
            <w:tcW w:w="1115" w:type="dxa"/>
            <w:vAlign w:val="center"/>
          </w:tcPr>
          <w:p w14:paraId="1D01D47A"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1,380</w:t>
            </w:r>
          </w:p>
        </w:tc>
        <w:tc>
          <w:tcPr>
            <w:tcW w:w="1224" w:type="dxa"/>
            <w:vAlign w:val="center"/>
          </w:tcPr>
          <w:p w14:paraId="6A40FB86"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17,516   </w:t>
            </w:r>
          </w:p>
        </w:tc>
        <w:tc>
          <w:tcPr>
            <w:tcW w:w="1124" w:type="dxa"/>
            <w:vAlign w:val="center"/>
          </w:tcPr>
          <w:p w14:paraId="59FE2E27"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9,432   </w:t>
            </w:r>
          </w:p>
        </w:tc>
        <w:tc>
          <w:tcPr>
            <w:tcW w:w="1123" w:type="dxa"/>
            <w:vAlign w:val="center"/>
          </w:tcPr>
          <w:p w14:paraId="073D6C48"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1,815   </w:t>
            </w:r>
          </w:p>
        </w:tc>
        <w:tc>
          <w:tcPr>
            <w:tcW w:w="1124" w:type="dxa"/>
            <w:vAlign w:val="center"/>
          </w:tcPr>
          <w:p w14:paraId="5A6FBF07"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3,950   </w:t>
            </w:r>
          </w:p>
        </w:tc>
        <w:tc>
          <w:tcPr>
            <w:tcW w:w="1262" w:type="dxa"/>
            <w:vAlign w:val="center"/>
          </w:tcPr>
          <w:p w14:paraId="0C004437"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     </w:t>
            </w:r>
          </w:p>
        </w:tc>
        <w:tc>
          <w:tcPr>
            <w:tcW w:w="904" w:type="dxa"/>
            <w:vAlign w:val="center"/>
          </w:tcPr>
          <w:p w14:paraId="0145AF33"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15,197   </w:t>
            </w:r>
          </w:p>
        </w:tc>
      </w:tr>
      <w:tr w:rsidR="0018473E" w:rsidRPr="00F635C4" w14:paraId="450BDE14" w14:textId="77777777">
        <w:trPr>
          <w:trHeight w:val="320"/>
        </w:trPr>
        <w:tc>
          <w:tcPr>
            <w:tcW w:w="572" w:type="dxa"/>
            <w:vAlign w:val="center"/>
          </w:tcPr>
          <w:p w14:paraId="7BB79C85"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3</w:t>
            </w:r>
          </w:p>
        </w:tc>
        <w:tc>
          <w:tcPr>
            <w:tcW w:w="820" w:type="dxa"/>
            <w:vAlign w:val="center"/>
          </w:tcPr>
          <w:p w14:paraId="4DFCA4B5"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7,515</w:t>
            </w:r>
          </w:p>
        </w:tc>
        <w:tc>
          <w:tcPr>
            <w:tcW w:w="1115" w:type="dxa"/>
            <w:vAlign w:val="center"/>
          </w:tcPr>
          <w:p w14:paraId="7047A079"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1,279</w:t>
            </w:r>
          </w:p>
        </w:tc>
        <w:tc>
          <w:tcPr>
            <w:tcW w:w="1224" w:type="dxa"/>
            <w:vAlign w:val="center"/>
          </w:tcPr>
          <w:p w14:paraId="06E4314E"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16,722   </w:t>
            </w:r>
          </w:p>
        </w:tc>
        <w:tc>
          <w:tcPr>
            <w:tcW w:w="1124" w:type="dxa"/>
            <w:vAlign w:val="center"/>
          </w:tcPr>
          <w:p w14:paraId="7B442DD0"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9,004   </w:t>
            </w:r>
          </w:p>
        </w:tc>
        <w:tc>
          <w:tcPr>
            <w:tcW w:w="1123" w:type="dxa"/>
            <w:vAlign w:val="center"/>
          </w:tcPr>
          <w:p w14:paraId="019E7269"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1,733   </w:t>
            </w:r>
          </w:p>
        </w:tc>
        <w:tc>
          <w:tcPr>
            <w:tcW w:w="1124" w:type="dxa"/>
            <w:vAlign w:val="center"/>
          </w:tcPr>
          <w:p w14:paraId="3697E4B6"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3,630   </w:t>
            </w:r>
          </w:p>
        </w:tc>
        <w:tc>
          <w:tcPr>
            <w:tcW w:w="1262" w:type="dxa"/>
            <w:vAlign w:val="center"/>
          </w:tcPr>
          <w:p w14:paraId="7C2DE74B"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1,577   </w:t>
            </w:r>
          </w:p>
        </w:tc>
        <w:tc>
          <w:tcPr>
            <w:tcW w:w="904" w:type="dxa"/>
            <w:vAlign w:val="center"/>
          </w:tcPr>
          <w:p w14:paraId="080F1100"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15,944   </w:t>
            </w:r>
          </w:p>
        </w:tc>
      </w:tr>
      <w:tr w:rsidR="0018473E" w:rsidRPr="00F635C4" w14:paraId="5E435815" w14:textId="77777777">
        <w:trPr>
          <w:trHeight w:val="320"/>
        </w:trPr>
        <w:tc>
          <w:tcPr>
            <w:tcW w:w="572" w:type="dxa"/>
            <w:vAlign w:val="center"/>
          </w:tcPr>
          <w:p w14:paraId="73537E21"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4</w:t>
            </w:r>
          </w:p>
        </w:tc>
        <w:tc>
          <w:tcPr>
            <w:tcW w:w="820" w:type="dxa"/>
            <w:vAlign w:val="center"/>
          </w:tcPr>
          <w:p w14:paraId="651AA229"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7,991</w:t>
            </w:r>
          </w:p>
        </w:tc>
        <w:tc>
          <w:tcPr>
            <w:tcW w:w="1115" w:type="dxa"/>
            <w:vAlign w:val="center"/>
          </w:tcPr>
          <w:p w14:paraId="49CBE792"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1,360</w:t>
            </w:r>
          </w:p>
        </w:tc>
        <w:tc>
          <w:tcPr>
            <w:tcW w:w="1224" w:type="dxa"/>
            <w:vAlign w:val="center"/>
          </w:tcPr>
          <w:p w14:paraId="2E7F9C5D"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18,315   </w:t>
            </w:r>
          </w:p>
        </w:tc>
        <w:tc>
          <w:tcPr>
            <w:tcW w:w="1124" w:type="dxa"/>
            <w:vAlign w:val="center"/>
          </w:tcPr>
          <w:p w14:paraId="709E6AD5"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9,862   </w:t>
            </w:r>
          </w:p>
        </w:tc>
        <w:tc>
          <w:tcPr>
            <w:tcW w:w="1123" w:type="dxa"/>
            <w:vAlign w:val="center"/>
          </w:tcPr>
          <w:p w14:paraId="08755F6C"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1,898   </w:t>
            </w:r>
          </w:p>
        </w:tc>
        <w:tc>
          <w:tcPr>
            <w:tcW w:w="1124" w:type="dxa"/>
            <w:vAlign w:val="center"/>
          </w:tcPr>
          <w:p w14:paraId="19DA7765"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3,465   </w:t>
            </w:r>
          </w:p>
        </w:tc>
        <w:tc>
          <w:tcPr>
            <w:tcW w:w="1262" w:type="dxa"/>
            <w:vAlign w:val="center"/>
          </w:tcPr>
          <w:p w14:paraId="6D232A44"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3,098   </w:t>
            </w:r>
          </w:p>
        </w:tc>
        <w:tc>
          <w:tcPr>
            <w:tcW w:w="904" w:type="dxa"/>
            <w:vAlign w:val="center"/>
          </w:tcPr>
          <w:p w14:paraId="791964F7"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18,323   </w:t>
            </w:r>
          </w:p>
        </w:tc>
      </w:tr>
      <w:tr w:rsidR="0018473E" w:rsidRPr="00F635C4" w14:paraId="72F7A70D" w14:textId="77777777">
        <w:trPr>
          <w:trHeight w:val="320"/>
        </w:trPr>
        <w:tc>
          <w:tcPr>
            <w:tcW w:w="572" w:type="dxa"/>
            <w:vAlign w:val="center"/>
          </w:tcPr>
          <w:p w14:paraId="5896FD50"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5</w:t>
            </w:r>
          </w:p>
        </w:tc>
        <w:tc>
          <w:tcPr>
            <w:tcW w:w="820" w:type="dxa"/>
            <w:vAlign w:val="center"/>
          </w:tcPr>
          <w:p w14:paraId="3380BE2E"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8,433</w:t>
            </w:r>
          </w:p>
        </w:tc>
        <w:tc>
          <w:tcPr>
            <w:tcW w:w="1115" w:type="dxa"/>
            <w:vAlign w:val="center"/>
          </w:tcPr>
          <w:p w14:paraId="6D0CB590"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1,436</w:t>
            </w:r>
          </w:p>
        </w:tc>
        <w:tc>
          <w:tcPr>
            <w:tcW w:w="1224" w:type="dxa"/>
            <w:vAlign w:val="center"/>
          </w:tcPr>
          <w:p w14:paraId="1B9E40C3"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19,908   </w:t>
            </w:r>
          </w:p>
        </w:tc>
        <w:tc>
          <w:tcPr>
            <w:tcW w:w="1124" w:type="dxa"/>
            <w:vAlign w:val="center"/>
          </w:tcPr>
          <w:p w14:paraId="21273E9A"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10,720   </w:t>
            </w:r>
          </w:p>
        </w:tc>
        <w:tc>
          <w:tcPr>
            <w:tcW w:w="1123" w:type="dxa"/>
            <w:vAlign w:val="center"/>
          </w:tcPr>
          <w:p w14:paraId="7999518A"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2,064   </w:t>
            </w:r>
          </w:p>
        </w:tc>
        <w:tc>
          <w:tcPr>
            <w:tcW w:w="1124" w:type="dxa"/>
            <w:vAlign w:val="center"/>
          </w:tcPr>
          <w:p w14:paraId="09DA12CC"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3,795   </w:t>
            </w:r>
          </w:p>
        </w:tc>
        <w:tc>
          <w:tcPr>
            <w:tcW w:w="1262" w:type="dxa"/>
            <w:vAlign w:val="center"/>
          </w:tcPr>
          <w:p w14:paraId="0E0FD2BC"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4,645   </w:t>
            </w:r>
          </w:p>
        </w:tc>
        <w:tc>
          <w:tcPr>
            <w:tcW w:w="904" w:type="dxa"/>
            <w:vAlign w:val="center"/>
          </w:tcPr>
          <w:p w14:paraId="101439BC"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21,224   </w:t>
            </w:r>
          </w:p>
        </w:tc>
      </w:tr>
      <w:tr w:rsidR="0018473E" w:rsidRPr="00F635C4" w14:paraId="502EB6ED" w14:textId="77777777">
        <w:trPr>
          <w:trHeight w:val="320"/>
        </w:trPr>
        <w:tc>
          <w:tcPr>
            <w:tcW w:w="572" w:type="dxa"/>
            <w:vAlign w:val="center"/>
          </w:tcPr>
          <w:p w14:paraId="21D0A20C"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6</w:t>
            </w:r>
          </w:p>
        </w:tc>
        <w:tc>
          <w:tcPr>
            <w:tcW w:w="820" w:type="dxa"/>
            <w:vAlign w:val="center"/>
          </w:tcPr>
          <w:p w14:paraId="5BE577CE"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9,119</w:t>
            </w:r>
          </w:p>
        </w:tc>
        <w:tc>
          <w:tcPr>
            <w:tcW w:w="1115" w:type="dxa"/>
            <w:vAlign w:val="center"/>
          </w:tcPr>
          <w:p w14:paraId="0D3204B0"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1,553</w:t>
            </w:r>
          </w:p>
        </w:tc>
        <w:tc>
          <w:tcPr>
            <w:tcW w:w="1224" w:type="dxa"/>
            <w:vAlign w:val="center"/>
          </w:tcPr>
          <w:p w14:paraId="52EA8829"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22,173   </w:t>
            </w:r>
          </w:p>
        </w:tc>
        <w:tc>
          <w:tcPr>
            <w:tcW w:w="1124" w:type="dxa"/>
            <w:vAlign w:val="center"/>
          </w:tcPr>
          <w:p w14:paraId="0A767DE4"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11,939   </w:t>
            </w:r>
          </w:p>
        </w:tc>
        <w:tc>
          <w:tcPr>
            <w:tcW w:w="1123" w:type="dxa"/>
            <w:vAlign w:val="center"/>
          </w:tcPr>
          <w:p w14:paraId="7EC84401"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2,299   </w:t>
            </w:r>
          </w:p>
        </w:tc>
        <w:tc>
          <w:tcPr>
            <w:tcW w:w="1124" w:type="dxa"/>
            <w:vAlign w:val="center"/>
          </w:tcPr>
          <w:p w14:paraId="63E5D2B2"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4,128   </w:t>
            </w:r>
          </w:p>
        </w:tc>
        <w:tc>
          <w:tcPr>
            <w:tcW w:w="1262" w:type="dxa"/>
            <w:vAlign w:val="center"/>
          </w:tcPr>
          <w:p w14:paraId="02D0EC15"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6,397   </w:t>
            </w:r>
          </w:p>
        </w:tc>
        <w:tc>
          <w:tcPr>
            <w:tcW w:w="904" w:type="dxa"/>
            <w:vAlign w:val="center"/>
          </w:tcPr>
          <w:p w14:paraId="23FD86F2"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24,763   </w:t>
            </w:r>
          </w:p>
        </w:tc>
      </w:tr>
      <w:tr w:rsidR="0018473E" w:rsidRPr="00F635C4" w14:paraId="0BA89E3E" w14:textId="77777777">
        <w:trPr>
          <w:trHeight w:val="320"/>
        </w:trPr>
        <w:tc>
          <w:tcPr>
            <w:tcW w:w="572" w:type="dxa"/>
            <w:vAlign w:val="center"/>
          </w:tcPr>
          <w:p w14:paraId="2B2C77BE"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7</w:t>
            </w:r>
          </w:p>
        </w:tc>
        <w:tc>
          <w:tcPr>
            <w:tcW w:w="820" w:type="dxa"/>
            <w:vAlign w:val="center"/>
          </w:tcPr>
          <w:p w14:paraId="63FA7F1A"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11,610</w:t>
            </w:r>
          </w:p>
        </w:tc>
        <w:tc>
          <w:tcPr>
            <w:tcW w:w="1115" w:type="dxa"/>
            <w:vAlign w:val="center"/>
          </w:tcPr>
          <w:p w14:paraId="1BEAE270"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1,977</w:t>
            </w:r>
          </w:p>
        </w:tc>
        <w:tc>
          <w:tcPr>
            <w:tcW w:w="1224" w:type="dxa"/>
            <w:vAlign w:val="center"/>
          </w:tcPr>
          <w:p w14:paraId="1CFD9BEF"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29,077   </w:t>
            </w:r>
          </w:p>
        </w:tc>
        <w:tc>
          <w:tcPr>
            <w:tcW w:w="1124" w:type="dxa"/>
            <w:vAlign w:val="center"/>
          </w:tcPr>
          <w:p w14:paraId="4853F0F9"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15,657   </w:t>
            </w:r>
          </w:p>
        </w:tc>
        <w:tc>
          <w:tcPr>
            <w:tcW w:w="1123" w:type="dxa"/>
            <w:vAlign w:val="center"/>
          </w:tcPr>
          <w:p w14:paraId="57504F6E"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3,014   </w:t>
            </w:r>
          </w:p>
        </w:tc>
        <w:tc>
          <w:tcPr>
            <w:tcW w:w="1124" w:type="dxa"/>
            <w:vAlign w:val="center"/>
          </w:tcPr>
          <w:p w14:paraId="3F041A09"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4,598   </w:t>
            </w:r>
          </w:p>
        </w:tc>
        <w:tc>
          <w:tcPr>
            <w:tcW w:w="1262" w:type="dxa"/>
            <w:vAlign w:val="center"/>
          </w:tcPr>
          <w:p w14:paraId="1B679467"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8,415   </w:t>
            </w:r>
          </w:p>
        </w:tc>
        <w:tc>
          <w:tcPr>
            <w:tcW w:w="904" w:type="dxa"/>
            <w:vAlign w:val="center"/>
          </w:tcPr>
          <w:p w14:paraId="6FB4F1AE"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31,684   </w:t>
            </w:r>
          </w:p>
        </w:tc>
      </w:tr>
      <w:tr w:rsidR="0018473E" w:rsidRPr="00F635C4" w14:paraId="178BEF54" w14:textId="77777777">
        <w:trPr>
          <w:trHeight w:val="320"/>
        </w:trPr>
        <w:tc>
          <w:tcPr>
            <w:tcW w:w="572" w:type="dxa"/>
            <w:vAlign w:val="center"/>
          </w:tcPr>
          <w:p w14:paraId="5ECB7814"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8</w:t>
            </w:r>
          </w:p>
        </w:tc>
        <w:tc>
          <w:tcPr>
            <w:tcW w:w="820" w:type="dxa"/>
            <w:vAlign w:val="center"/>
          </w:tcPr>
          <w:p w14:paraId="3ECA8303"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12,978</w:t>
            </w:r>
          </w:p>
        </w:tc>
        <w:tc>
          <w:tcPr>
            <w:tcW w:w="1115" w:type="dxa"/>
            <w:vAlign w:val="center"/>
          </w:tcPr>
          <w:p w14:paraId="7A10EB91"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2,209</w:t>
            </w:r>
          </w:p>
        </w:tc>
        <w:tc>
          <w:tcPr>
            <w:tcW w:w="1224" w:type="dxa"/>
            <w:vAlign w:val="center"/>
          </w:tcPr>
          <w:p w14:paraId="762A25F0"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33,478   </w:t>
            </w:r>
          </w:p>
        </w:tc>
        <w:tc>
          <w:tcPr>
            <w:tcW w:w="1124" w:type="dxa"/>
            <w:vAlign w:val="center"/>
          </w:tcPr>
          <w:p w14:paraId="49FE6997"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18,027   </w:t>
            </w:r>
          </w:p>
        </w:tc>
        <w:tc>
          <w:tcPr>
            <w:tcW w:w="1123" w:type="dxa"/>
            <w:vAlign w:val="center"/>
          </w:tcPr>
          <w:p w14:paraId="40259402"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3,469   </w:t>
            </w:r>
          </w:p>
        </w:tc>
        <w:tc>
          <w:tcPr>
            <w:tcW w:w="1124" w:type="dxa"/>
            <w:vAlign w:val="center"/>
          </w:tcPr>
          <w:p w14:paraId="7CABD582"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6,029   </w:t>
            </w:r>
          </w:p>
        </w:tc>
        <w:tc>
          <w:tcPr>
            <w:tcW w:w="1262" w:type="dxa"/>
            <w:vAlign w:val="center"/>
          </w:tcPr>
          <w:p w14:paraId="672AD2B0"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10,721   </w:t>
            </w:r>
          </w:p>
        </w:tc>
        <w:tc>
          <w:tcPr>
            <w:tcW w:w="904" w:type="dxa"/>
            <w:vAlign w:val="center"/>
          </w:tcPr>
          <w:p w14:paraId="70E18A84"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38,246   </w:t>
            </w:r>
          </w:p>
        </w:tc>
      </w:tr>
      <w:tr w:rsidR="0018473E" w:rsidRPr="00F635C4" w14:paraId="1B00A484" w14:textId="77777777">
        <w:trPr>
          <w:trHeight w:val="320"/>
        </w:trPr>
        <w:tc>
          <w:tcPr>
            <w:tcW w:w="572" w:type="dxa"/>
            <w:vAlign w:val="center"/>
          </w:tcPr>
          <w:p w14:paraId="6E692947"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9</w:t>
            </w:r>
          </w:p>
        </w:tc>
        <w:tc>
          <w:tcPr>
            <w:tcW w:w="820" w:type="dxa"/>
            <w:vAlign w:val="center"/>
          </w:tcPr>
          <w:p w14:paraId="536178BC"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12,307</w:t>
            </w:r>
          </w:p>
        </w:tc>
        <w:tc>
          <w:tcPr>
            <w:tcW w:w="1115" w:type="dxa"/>
            <w:vAlign w:val="center"/>
          </w:tcPr>
          <w:p w14:paraId="5D61AC85"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2,095</w:t>
            </w:r>
          </w:p>
        </w:tc>
        <w:tc>
          <w:tcPr>
            <w:tcW w:w="1224" w:type="dxa"/>
            <w:vAlign w:val="center"/>
          </w:tcPr>
          <w:p w14:paraId="07245D8F"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32,700   </w:t>
            </w:r>
          </w:p>
        </w:tc>
        <w:tc>
          <w:tcPr>
            <w:tcW w:w="1124" w:type="dxa"/>
            <w:vAlign w:val="center"/>
          </w:tcPr>
          <w:p w14:paraId="1925F85D"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17,608   </w:t>
            </w:r>
          </w:p>
        </w:tc>
        <w:tc>
          <w:tcPr>
            <w:tcW w:w="1123" w:type="dxa"/>
            <w:vAlign w:val="center"/>
          </w:tcPr>
          <w:p w14:paraId="60B5D137"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3,389   </w:t>
            </w:r>
          </w:p>
        </w:tc>
        <w:tc>
          <w:tcPr>
            <w:tcW w:w="1124" w:type="dxa"/>
            <w:vAlign w:val="center"/>
          </w:tcPr>
          <w:p w14:paraId="3A28051F"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6,938   </w:t>
            </w:r>
          </w:p>
        </w:tc>
        <w:tc>
          <w:tcPr>
            <w:tcW w:w="1262" w:type="dxa"/>
            <w:vAlign w:val="center"/>
          </w:tcPr>
          <w:p w14:paraId="2C593D72"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13,732   </w:t>
            </w:r>
          </w:p>
        </w:tc>
        <w:tc>
          <w:tcPr>
            <w:tcW w:w="904" w:type="dxa"/>
            <w:vAlign w:val="center"/>
          </w:tcPr>
          <w:p w14:paraId="76970751"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41,667   </w:t>
            </w:r>
          </w:p>
        </w:tc>
      </w:tr>
      <w:tr w:rsidR="0018473E" w:rsidRPr="00F635C4" w14:paraId="4A143D76" w14:textId="77777777">
        <w:trPr>
          <w:trHeight w:val="60"/>
        </w:trPr>
        <w:tc>
          <w:tcPr>
            <w:tcW w:w="572" w:type="dxa"/>
            <w:vAlign w:val="center"/>
          </w:tcPr>
          <w:p w14:paraId="02B419A0"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10</w:t>
            </w:r>
          </w:p>
        </w:tc>
        <w:tc>
          <w:tcPr>
            <w:tcW w:w="820" w:type="dxa"/>
            <w:vAlign w:val="center"/>
          </w:tcPr>
          <w:p w14:paraId="5247AF0B"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11,367</w:t>
            </w:r>
          </w:p>
        </w:tc>
        <w:tc>
          <w:tcPr>
            <w:tcW w:w="1115" w:type="dxa"/>
            <w:vAlign w:val="center"/>
          </w:tcPr>
          <w:p w14:paraId="23132160"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1,935</w:t>
            </w:r>
          </w:p>
        </w:tc>
        <w:tc>
          <w:tcPr>
            <w:tcW w:w="1224" w:type="dxa"/>
            <w:vAlign w:val="center"/>
          </w:tcPr>
          <w:p w14:paraId="2FF42B54"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31,108   </w:t>
            </w:r>
          </w:p>
        </w:tc>
        <w:tc>
          <w:tcPr>
            <w:tcW w:w="1124" w:type="dxa"/>
            <w:vAlign w:val="center"/>
          </w:tcPr>
          <w:p w14:paraId="452F0BFC"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16,751   </w:t>
            </w:r>
          </w:p>
        </w:tc>
        <w:tc>
          <w:tcPr>
            <w:tcW w:w="1123" w:type="dxa"/>
            <w:vAlign w:val="center"/>
          </w:tcPr>
          <w:p w14:paraId="38EB8D8D"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3,224   </w:t>
            </w:r>
          </w:p>
        </w:tc>
        <w:tc>
          <w:tcPr>
            <w:tcW w:w="1124" w:type="dxa"/>
            <w:vAlign w:val="center"/>
          </w:tcPr>
          <w:p w14:paraId="3FA22D3E"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6,778   </w:t>
            </w:r>
          </w:p>
        </w:tc>
        <w:tc>
          <w:tcPr>
            <w:tcW w:w="1262" w:type="dxa"/>
            <w:vAlign w:val="center"/>
          </w:tcPr>
          <w:p w14:paraId="4BAE8741"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17,346   </w:t>
            </w:r>
          </w:p>
        </w:tc>
        <w:tc>
          <w:tcPr>
            <w:tcW w:w="904" w:type="dxa"/>
            <w:vAlign w:val="center"/>
          </w:tcPr>
          <w:p w14:paraId="01879964"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 xml:space="preserve">               44,098   </w:t>
            </w:r>
          </w:p>
        </w:tc>
      </w:tr>
      <w:tr w:rsidR="0018473E" w:rsidRPr="00F635C4" w14:paraId="2D11292A" w14:textId="77777777">
        <w:trPr>
          <w:trHeight w:val="197"/>
        </w:trPr>
        <w:tc>
          <w:tcPr>
            <w:tcW w:w="572" w:type="dxa"/>
            <w:vAlign w:val="center"/>
          </w:tcPr>
          <w:p w14:paraId="0586B130"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Total</w:t>
            </w:r>
          </w:p>
        </w:tc>
        <w:tc>
          <w:tcPr>
            <w:tcW w:w="820" w:type="dxa"/>
            <w:vAlign w:val="center"/>
          </w:tcPr>
          <w:p w14:paraId="1B482ACC"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98,569</w:t>
            </w:r>
          </w:p>
        </w:tc>
        <w:tc>
          <w:tcPr>
            <w:tcW w:w="1115" w:type="dxa"/>
            <w:vAlign w:val="center"/>
          </w:tcPr>
          <w:p w14:paraId="3A9E9BF7" w14:textId="77777777" w:rsidR="0018473E" w:rsidRPr="00F635C4" w:rsidRDefault="00015EA5">
            <w:pPr>
              <w:jc w:val="center"/>
              <w:rPr>
                <w:rFonts w:ascii="Arial" w:eastAsia="Arial" w:hAnsi="Arial" w:cs="Arial"/>
                <w:sz w:val="16"/>
                <w:szCs w:val="16"/>
              </w:rPr>
            </w:pPr>
            <w:r w:rsidRPr="00F635C4">
              <w:rPr>
                <w:rFonts w:ascii="Arial" w:eastAsia="Arial" w:hAnsi="Arial" w:cs="Arial"/>
                <w:sz w:val="16"/>
                <w:szCs w:val="16"/>
              </w:rPr>
              <w:t>16,780</w:t>
            </w:r>
          </w:p>
        </w:tc>
        <w:tc>
          <w:tcPr>
            <w:tcW w:w="1224" w:type="dxa"/>
            <w:shd w:val="clear" w:color="auto" w:fill="FFCCCC"/>
            <w:vAlign w:val="center"/>
          </w:tcPr>
          <w:p w14:paraId="71D233FC" w14:textId="77777777" w:rsidR="0018473E" w:rsidRPr="00F635C4" w:rsidRDefault="00015EA5">
            <w:pPr>
              <w:jc w:val="center"/>
              <w:rPr>
                <w:rFonts w:ascii="Arial" w:eastAsia="Arial" w:hAnsi="Arial" w:cs="Arial"/>
                <w:b/>
                <w:sz w:val="16"/>
                <w:szCs w:val="16"/>
              </w:rPr>
            </w:pPr>
            <w:r w:rsidRPr="00F635C4">
              <w:rPr>
                <w:rFonts w:ascii="Arial" w:eastAsia="Arial" w:hAnsi="Arial" w:cs="Arial"/>
                <w:b/>
                <w:color w:val="C00000"/>
                <w:sz w:val="16"/>
                <w:szCs w:val="16"/>
              </w:rPr>
              <w:t>240,058</w:t>
            </w:r>
          </w:p>
        </w:tc>
        <w:tc>
          <w:tcPr>
            <w:tcW w:w="1124" w:type="dxa"/>
            <w:shd w:val="clear" w:color="auto" w:fill="EBF1DD"/>
            <w:vAlign w:val="center"/>
          </w:tcPr>
          <w:p w14:paraId="282141E9" w14:textId="77777777" w:rsidR="0018473E" w:rsidRPr="00F635C4" w:rsidRDefault="00015EA5">
            <w:pPr>
              <w:jc w:val="center"/>
              <w:rPr>
                <w:rFonts w:ascii="Arial" w:eastAsia="Arial" w:hAnsi="Arial" w:cs="Arial"/>
                <w:b/>
                <w:color w:val="00B050"/>
                <w:sz w:val="16"/>
                <w:szCs w:val="16"/>
              </w:rPr>
            </w:pPr>
            <w:r w:rsidRPr="00F635C4">
              <w:rPr>
                <w:rFonts w:ascii="Arial" w:eastAsia="Arial" w:hAnsi="Arial" w:cs="Arial"/>
                <w:b/>
                <w:color w:val="00B050"/>
                <w:sz w:val="16"/>
                <w:szCs w:val="16"/>
              </w:rPr>
              <w:t>129,262</w:t>
            </w:r>
          </w:p>
        </w:tc>
        <w:tc>
          <w:tcPr>
            <w:tcW w:w="1123" w:type="dxa"/>
            <w:shd w:val="clear" w:color="auto" w:fill="EBF1DD"/>
            <w:vAlign w:val="center"/>
          </w:tcPr>
          <w:p w14:paraId="1EEA48C2" w14:textId="77777777" w:rsidR="0018473E" w:rsidRPr="00F635C4" w:rsidRDefault="00015EA5">
            <w:pPr>
              <w:jc w:val="center"/>
              <w:rPr>
                <w:rFonts w:ascii="Arial" w:eastAsia="Arial" w:hAnsi="Arial" w:cs="Arial"/>
                <w:b/>
                <w:color w:val="00B050"/>
                <w:sz w:val="16"/>
                <w:szCs w:val="16"/>
              </w:rPr>
            </w:pPr>
            <w:r w:rsidRPr="00F635C4">
              <w:rPr>
                <w:rFonts w:ascii="Arial" w:eastAsia="Arial" w:hAnsi="Arial" w:cs="Arial"/>
                <w:b/>
                <w:color w:val="00B050"/>
                <w:sz w:val="16"/>
                <w:szCs w:val="16"/>
              </w:rPr>
              <w:t>24,880</w:t>
            </w:r>
          </w:p>
        </w:tc>
        <w:tc>
          <w:tcPr>
            <w:tcW w:w="1124" w:type="dxa"/>
            <w:shd w:val="clear" w:color="auto" w:fill="EBF1DD"/>
            <w:vAlign w:val="center"/>
          </w:tcPr>
          <w:p w14:paraId="1CF60E66" w14:textId="77777777" w:rsidR="0018473E" w:rsidRPr="00F635C4" w:rsidRDefault="00015EA5">
            <w:pPr>
              <w:jc w:val="center"/>
              <w:rPr>
                <w:rFonts w:ascii="Arial" w:eastAsia="Arial" w:hAnsi="Arial" w:cs="Arial"/>
                <w:b/>
                <w:color w:val="00B050"/>
                <w:sz w:val="16"/>
                <w:szCs w:val="16"/>
              </w:rPr>
            </w:pPr>
            <w:r w:rsidRPr="00F635C4">
              <w:rPr>
                <w:rFonts w:ascii="Arial" w:eastAsia="Arial" w:hAnsi="Arial" w:cs="Arial"/>
                <w:b/>
                <w:color w:val="00B050"/>
                <w:sz w:val="16"/>
                <w:szCs w:val="16"/>
              </w:rPr>
              <w:t>43,312</w:t>
            </w:r>
          </w:p>
        </w:tc>
        <w:tc>
          <w:tcPr>
            <w:tcW w:w="1262" w:type="dxa"/>
            <w:shd w:val="clear" w:color="auto" w:fill="EBF1DD"/>
            <w:vAlign w:val="center"/>
          </w:tcPr>
          <w:p w14:paraId="26932351" w14:textId="77777777" w:rsidR="0018473E" w:rsidRPr="00F635C4" w:rsidRDefault="00015EA5">
            <w:pPr>
              <w:jc w:val="center"/>
              <w:rPr>
                <w:rFonts w:ascii="Arial" w:eastAsia="Arial" w:hAnsi="Arial" w:cs="Arial"/>
                <w:b/>
                <w:color w:val="00B050"/>
                <w:sz w:val="16"/>
                <w:szCs w:val="16"/>
              </w:rPr>
            </w:pPr>
            <w:r w:rsidRPr="00F635C4">
              <w:rPr>
                <w:rFonts w:ascii="Arial" w:eastAsia="Arial" w:hAnsi="Arial" w:cs="Arial"/>
                <w:b/>
                <w:color w:val="00B050"/>
                <w:sz w:val="16"/>
                <w:szCs w:val="16"/>
              </w:rPr>
              <w:t>65,930</w:t>
            </w:r>
          </w:p>
        </w:tc>
        <w:tc>
          <w:tcPr>
            <w:tcW w:w="904" w:type="dxa"/>
            <w:shd w:val="clear" w:color="auto" w:fill="EBF1DD"/>
            <w:vAlign w:val="center"/>
          </w:tcPr>
          <w:p w14:paraId="75BEA01B" w14:textId="77777777" w:rsidR="0018473E" w:rsidRPr="00F635C4" w:rsidRDefault="00015EA5">
            <w:pPr>
              <w:jc w:val="center"/>
              <w:rPr>
                <w:rFonts w:ascii="Arial" w:eastAsia="Arial" w:hAnsi="Arial" w:cs="Arial"/>
                <w:b/>
                <w:color w:val="00B050"/>
                <w:sz w:val="16"/>
                <w:szCs w:val="16"/>
              </w:rPr>
            </w:pPr>
            <w:r w:rsidRPr="00F635C4">
              <w:rPr>
                <w:rFonts w:ascii="Arial" w:eastAsia="Arial" w:hAnsi="Arial" w:cs="Arial"/>
                <w:b/>
                <w:color w:val="00B050"/>
                <w:sz w:val="16"/>
                <w:szCs w:val="16"/>
              </w:rPr>
              <w:t>263,384</w:t>
            </w:r>
          </w:p>
        </w:tc>
      </w:tr>
    </w:tbl>
    <w:p w14:paraId="066505C1" w14:textId="77777777" w:rsidR="0018473E" w:rsidRPr="00F635C4" w:rsidRDefault="0018473E">
      <w:pPr>
        <w:jc w:val="center"/>
        <w:rPr>
          <w:rFonts w:ascii="Arial" w:eastAsia="Arial" w:hAnsi="Arial" w:cs="Arial"/>
          <w:b/>
          <w:i/>
          <w:sz w:val="22"/>
          <w:szCs w:val="22"/>
        </w:rPr>
      </w:pPr>
    </w:p>
    <w:p w14:paraId="6C9A7A41" w14:textId="77777777" w:rsidR="0018473E" w:rsidRPr="00F635C4" w:rsidRDefault="00015EA5">
      <w:pPr>
        <w:jc w:val="center"/>
        <w:rPr>
          <w:rFonts w:ascii="Arial" w:eastAsia="Arial" w:hAnsi="Arial" w:cs="Arial"/>
          <w:sz w:val="18"/>
          <w:szCs w:val="18"/>
        </w:rPr>
      </w:pPr>
      <w:r w:rsidRPr="00F635C4">
        <w:rPr>
          <w:rFonts w:ascii="Arial" w:eastAsia="Arial" w:hAnsi="Arial" w:cs="Arial"/>
          <w:sz w:val="18"/>
          <w:szCs w:val="18"/>
        </w:rPr>
        <w:t>Fuente: Elaboración propia</w:t>
      </w:r>
    </w:p>
    <w:p w14:paraId="7D50F1D7" w14:textId="77777777" w:rsidR="0018473E" w:rsidRPr="00F635C4" w:rsidRDefault="0018473E">
      <w:pPr>
        <w:jc w:val="center"/>
        <w:rPr>
          <w:rFonts w:ascii="Arial" w:eastAsia="Arial" w:hAnsi="Arial" w:cs="Arial"/>
          <w:sz w:val="18"/>
          <w:szCs w:val="18"/>
        </w:rPr>
      </w:pPr>
    </w:p>
    <w:p w14:paraId="255ACA68" w14:textId="088FB377" w:rsidR="0018473E" w:rsidRPr="00F635C4" w:rsidRDefault="00324460">
      <w:pPr>
        <w:jc w:val="both"/>
        <w:rPr>
          <w:rFonts w:ascii="Arial" w:eastAsia="Arial" w:hAnsi="Arial" w:cs="Arial"/>
          <w:sz w:val="22"/>
          <w:szCs w:val="22"/>
        </w:rPr>
      </w:pPr>
      <w:r w:rsidRPr="00F635C4">
        <w:rPr>
          <w:rFonts w:ascii="Arial" w:eastAsia="Arial" w:hAnsi="Arial" w:cs="Arial"/>
          <w:sz w:val="22"/>
          <w:szCs w:val="22"/>
        </w:rPr>
        <w:t>Para la autora, “e</w:t>
      </w:r>
      <w:r w:rsidR="00015EA5" w:rsidRPr="00F635C4">
        <w:rPr>
          <w:rFonts w:ascii="Arial" w:eastAsia="Arial" w:hAnsi="Arial" w:cs="Arial"/>
          <w:sz w:val="22"/>
          <w:szCs w:val="22"/>
        </w:rPr>
        <w:t>l descuento del 65% asegura que el Distrito no vea comprometido el recaudo, como ocurriría con un beneficio mayor, y al mismo tiempo maximiza el incentivo para que la vivienda social se construya en sitio, en lugar de ser compensada en dinero</w:t>
      </w:r>
      <w:r w:rsidRPr="00F635C4">
        <w:rPr>
          <w:rFonts w:ascii="Arial" w:eastAsia="Arial" w:hAnsi="Arial" w:cs="Arial"/>
          <w:sz w:val="22"/>
          <w:szCs w:val="22"/>
        </w:rPr>
        <w:t>”</w:t>
      </w:r>
      <w:r w:rsidR="00015EA5" w:rsidRPr="00F635C4">
        <w:rPr>
          <w:rFonts w:ascii="Arial" w:eastAsia="Arial" w:hAnsi="Arial" w:cs="Arial"/>
          <w:sz w:val="22"/>
          <w:szCs w:val="22"/>
        </w:rPr>
        <w:t xml:space="preserve"> (Tabla 11).</w:t>
      </w:r>
    </w:p>
    <w:p w14:paraId="2713B0A7" w14:textId="77777777" w:rsidR="0018473E" w:rsidRPr="00F635C4" w:rsidRDefault="0018473E">
      <w:pPr>
        <w:jc w:val="center"/>
        <w:rPr>
          <w:rFonts w:ascii="Arial" w:eastAsia="Arial" w:hAnsi="Arial" w:cs="Arial"/>
          <w:sz w:val="18"/>
          <w:szCs w:val="18"/>
        </w:rPr>
      </w:pPr>
    </w:p>
    <w:p w14:paraId="396CCB56" w14:textId="77777777" w:rsidR="0018473E" w:rsidRPr="00F635C4" w:rsidRDefault="00015EA5">
      <w:pPr>
        <w:jc w:val="center"/>
        <w:rPr>
          <w:rFonts w:ascii="Arial" w:eastAsia="Arial" w:hAnsi="Arial" w:cs="Arial"/>
          <w:b/>
          <w:i/>
          <w:sz w:val="22"/>
          <w:szCs w:val="22"/>
        </w:rPr>
      </w:pPr>
      <w:r w:rsidRPr="00F635C4">
        <w:rPr>
          <w:rFonts w:ascii="Arial" w:eastAsia="Arial" w:hAnsi="Arial" w:cs="Arial"/>
          <w:b/>
          <w:i/>
          <w:sz w:val="22"/>
          <w:szCs w:val="22"/>
        </w:rPr>
        <w:t>Tabla 11. Análisis de costos y beneficios fiscales-Calibración de descuentos. Cifras en millones de pesos corrientes</w:t>
      </w:r>
    </w:p>
    <w:p w14:paraId="1DC185D3" w14:textId="77777777" w:rsidR="0018473E" w:rsidRPr="00F635C4" w:rsidRDefault="0018473E">
      <w:pPr>
        <w:jc w:val="center"/>
        <w:rPr>
          <w:rFonts w:ascii="Arial" w:eastAsia="Arial" w:hAnsi="Arial" w:cs="Arial"/>
          <w:sz w:val="18"/>
          <w:szCs w:val="18"/>
        </w:rPr>
      </w:pPr>
    </w:p>
    <w:tbl>
      <w:tblPr>
        <w:tblStyle w:val="a9"/>
        <w:tblW w:w="93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4"/>
        <w:gridCol w:w="817"/>
        <w:gridCol w:w="1115"/>
        <w:gridCol w:w="1115"/>
        <w:gridCol w:w="1126"/>
        <w:gridCol w:w="706"/>
        <w:gridCol w:w="928"/>
        <w:gridCol w:w="1164"/>
        <w:gridCol w:w="1345"/>
      </w:tblGrid>
      <w:tr w:rsidR="0018473E" w:rsidRPr="00F635C4" w14:paraId="7BFBE160" w14:textId="77777777">
        <w:trPr>
          <w:trHeight w:val="300"/>
        </w:trPr>
        <w:tc>
          <w:tcPr>
            <w:tcW w:w="1034" w:type="dxa"/>
            <w:vMerge w:val="restart"/>
            <w:vAlign w:val="center"/>
          </w:tcPr>
          <w:p w14:paraId="2437B27E" w14:textId="77777777" w:rsidR="0018473E" w:rsidRPr="00F635C4" w:rsidRDefault="00015EA5">
            <w:pPr>
              <w:jc w:val="center"/>
              <w:rPr>
                <w:rFonts w:ascii="Arial" w:eastAsia="Arial" w:hAnsi="Arial" w:cs="Arial"/>
                <w:b/>
                <w:color w:val="000000"/>
                <w:sz w:val="16"/>
                <w:szCs w:val="16"/>
              </w:rPr>
            </w:pPr>
            <w:r w:rsidRPr="00F635C4">
              <w:rPr>
                <w:rFonts w:ascii="Arial" w:eastAsia="Arial" w:hAnsi="Arial" w:cs="Arial"/>
                <w:b/>
                <w:color w:val="000000"/>
                <w:sz w:val="16"/>
                <w:szCs w:val="16"/>
              </w:rPr>
              <w:t xml:space="preserve">Descuento </w:t>
            </w:r>
          </w:p>
        </w:tc>
        <w:tc>
          <w:tcPr>
            <w:tcW w:w="817" w:type="dxa"/>
            <w:vMerge w:val="restart"/>
            <w:vAlign w:val="center"/>
          </w:tcPr>
          <w:p w14:paraId="07C74027" w14:textId="77777777" w:rsidR="0018473E" w:rsidRPr="00F635C4" w:rsidRDefault="00015EA5">
            <w:pPr>
              <w:jc w:val="center"/>
              <w:rPr>
                <w:rFonts w:ascii="Arial" w:eastAsia="Arial" w:hAnsi="Arial" w:cs="Arial"/>
                <w:b/>
                <w:color w:val="000000"/>
                <w:sz w:val="16"/>
                <w:szCs w:val="16"/>
              </w:rPr>
            </w:pPr>
            <w:r w:rsidRPr="00F635C4">
              <w:rPr>
                <w:rFonts w:ascii="Arial" w:eastAsia="Arial" w:hAnsi="Arial" w:cs="Arial"/>
                <w:b/>
                <w:color w:val="000000"/>
                <w:sz w:val="16"/>
                <w:szCs w:val="16"/>
              </w:rPr>
              <w:t>Tarifa</w:t>
            </w:r>
          </w:p>
        </w:tc>
        <w:tc>
          <w:tcPr>
            <w:tcW w:w="1115" w:type="dxa"/>
            <w:shd w:val="clear" w:color="auto" w:fill="FFCCCC"/>
            <w:vAlign w:val="center"/>
          </w:tcPr>
          <w:p w14:paraId="01F4CA60" w14:textId="77777777" w:rsidR="0018473E" w:rsidRPr="00F635C4" w:rsidRDefault="00015EA5">
            <w:pPr>
              <w:jc w:val="center"/>
              <w:rPr>
                <w:rFonts w:ascii="Arial" w:eastAsia="Arial" w:hAnsi="Arial" w:cs="Arial"/>
                <w:b/>
                <w:color w:val="C00000"/>
                <w:sz w:val="16"/>
                <w:szCs w:val="16"/>
              </w:rPr>
            </w:pPr>
            <w:r w:rsidRPr="00F635C4">
              <w:rPr>
                <w:rFonts w:ascii="Arial" w:eastAsia="Arial" w:hAnsi="Arial" w:cs="Arial"/>
                <w:b/>
                <w:color w:val="C00000"/>
                <w:sz w:val="16"/>
                <w:szCs w:val="16"/>
              </w:rPr>
              <w:t>Costos</w:t>
            </w:r>
          </w:p>
        </w:tc>
        <w:tc>
          <w:tcPr>
            <w:tcW w:w="5039" w:type="dxa"/>
            <w:gridSpan w:val="5"/>
            <w:shd w:val="clear" w:color="auto" w:fill="EBF1DD"/>
            <w:vAlign w:val="center"/>
          </w:tcPr>
          <w:p w14:paraId="27046CD0" w14:textId="77777777" w:rsidR="0018473E" w:rsidRPr="00F635C4" w:rsidRDefault="00015EA5">
            <w:pPr>
              <w:jc w:val="center"/>
              <w:rPr>
                <w:rFonts w:ascii="Arial" w:eastAsia="Arial" w:hAnsi="Arial" w:cs="Arial"/>
                <w:b/>
                <w:color w:val="00B050"/>
                <w:sz w:val="16"/>
                <w:szCs w:val="16"/>
              </w:rPr>
            </w:pPr>
            <w:r w:rsidRPr="00F635C4">
              <w:rPr>
                <w:rFonts w:ascii="Arial" w:eastAsia="Arial" w:hAnsi="Arial" w:cs="Arial"/>
                <w:b/>
                <w:color w:val="00B050"/>
                <w:sz w:val="16"/>
                <w:szCs w:val="16"/>
              </w:rPr>
              <w:t>Beneficio</w:t>
            </w:r>
          </w:p>
        </w:tc>
        <w:tc>
          <w:tcPr>
            <w:tcW w:w="1345" w:type="dxa"/>
            <w:vMerge w:val="restart"/>
            <w:vAlign w:val="center"/>
          </w:tcPr>
          <w:p w14:paraId="6FCF3A48" w14:textId="77777777" w:rsidR="0018473E" w:rsidRPr="00F635C4" w:rsidRDefault="00015EA5">
            <w:pPr>
              <w:jc w:val="center"/>
              <w:rPr>
                <w:rFonts w:ascii="Arial" w:eastAsia="Arial" w:hAnsi="Arial" w:cs="Arial"/>
                <w:b/>
                <w:color w:val="FF3300"/>
                <w:sz w:val="16"/>
                <w:szCs w:val="16"/>
              </w:rPr>
            </w:pPr>
            <w:r w:rsidRPr="00F635C4">
              <w:rPr>
                <w:rFonts w:ascii="Arial" w:eastAsia="Arial" w:hAnsi="Arial" w:cs="Arial"/>
                <w:b/>
                <w:color w:val="000000"/>
                <w:sz w:val="16"/>
                <w:szCs w:val="16"/>
              </w:rPr>
              <w:t>Balance</w:t>
            </w:r>
          </w:p>
        </w:tc>
      </w:tr>
      <w:tr w:rsidR="0018473E" w:rsidRPr="00F635C4" w14:paraId="0640CABC" w14:textId="77777777">
        <w:trPr>
          <w:trHeight w:val="329"/>
        </w:trPr>
        <w:tc>
          <w:tcPr>
            <w:tcW w:w="1034" w:type="dxa"/>
            <w:vMerge/>
            <w:vAlign w:val="center"/>
          </w:tcPr>
          <w:p w14:paraId="09021E95" w14:textId="77777777" w:rsidR="0018473E" w:rsidRPr="00F635C4" w:rsidRDefault="0018473E">
            <w:pPr>
              <w:widowControl w:val="0"/>
              <w:pBdr>
                <w:top w:val="nil"/>
                <w:left w:val="nil"/>
                <w:bottom w:val="nil"/>
                <w:right w:val="nil"/>
                <w:between w:val="nil"/>
              </w:pBdr>
              <w:spacing w:line="276" w:lineRule="auto"/>
              <w:rPr>
                <w:rFonts w:ascii="Arial" w:eastAsia="Arial" w:hAnsi="Arial" w:cs="Arial"/>
                <w:b/>
                <w:color w:val="FF3300"/>
                <w:sz w:val="16"/>
                <w:szCs w:val="16"/>
              </w:rPr>
            </w:pPr>
          </w:p>
        </w:tc>
        <w:tc>
          <w:tcPr>
            <w:tcW w:w="817" w:type="dxa"/>
            <w:vMerge/>
            <w:vAlign w:val="center"/>
          </w:tcPr>
          <w:p w14:paraId="315BF39A" w14:textId="77777777" w:rsidR="0018473E" w:rsidRPr="00F635C4" w:rsidRDefault="0018473E">
            <w:pPr>
              <w:widowControl w:val="0"/>
              <w:pBdr>
                <w:top w:val="nil"/>
                <w:left w:val="nil"/>
                <w:bottom w:val="nil"/>
                <w:right w:val="nil"/>
                <w:between w:val="nil"/>
              </w:pBdr>
              <w:spacing w:line="276" w:lineRule="auto"/>
              <w:rPr>
                <w:rFonts w:ascii="Arial" w:eastAsia="Arial" w:hAnsi="Arial" w:cs="Arial"/>
                <w:b/>
                <w:color w:val="FF3300"/>
                <w:sz w:val="16"/>
                <w:szCs w:val="16"/>
              </w:rPr>
            </w:pPr>
          </w:p>
        </w:tc>
        <w:tc>
          <w:tcPr>
            <w:tcW w:w="1115" w:type="dxa"/>
            <w:shd w:val="clear" w:color="auto" w:fill="FFCCCC"/>
            <w:vAlign w:val="center"/>
          </w:tcPr>
          <w:p w14:paraId="2F9D1AA3" w14:textId="77777777" w:rsidR="0018473E" w:rsidRPr="00F635C4" w:rsidRDefault="00015EA5">
            <w:pPr>
              <w:jc w:val="center"/>
              <w:rPr>
                <w:rFonts w:ascii="Arial" w:eastAsia="Arial" w:hAnsi="Arial" w:cs="Arial"/>
                <w:b/>
                <w:color w:val="C00000"/>
                <w:sz w:val="16"/>
                <w:szCs w:val="16"/>
              </w:rPr>
            </w:pPr>
            <w:r w:rsidRPr="00F635C4">
              <w:rPr>
                <w:rFonts w:ascii="Arial" w:eastAsia="Arial" w:hAnsi="Arial" w:cs="Arial"/>
                <w:b/>
                <w:color w:val="C00000"/>
                <w:sz w:val="16"/>
                <w:szCs w:val="16"/>
              </w:rPr>
              <w:t>Delineación urbana</w:t>
            </w:r>
          </w:p>
        </w:tc>
        <w:tc>
          <w:tcPr>
            <w:tcW w:w="1115" w:type="dxa"/>
            <w:shd w:val="clear" w:color="auto" w:fill="EBF1DD"/>
            <w:vAlign w:val="center"/>
          </w:tcPr>
          <w:p w14:paraId="3913A1D4" w14:textId="77777777" w:rsidR="0018473E" w:rsidRPr="00F635C4" w:rsidRDefault="00015EA5">
            <w:pPr>
              <w:jc w:val="center"/>
              <w:rPr>
                <w:rFonts w:ascii="Arial" w:eastAsia="Arial" w:hAnsi="Arial" w:cs="Arial"/>
                <w:b/>
                <w:color w:val="00B050"/>
                <w:sz w:val="16"/>
                <w:szCs w:val="16"/>
              </w:rPr>
            </w:pPr>
            <w:r w:rsidRPr="00F635C4">
              <w:rPr>
                <w:rFonts w:ascii="Arial" w:eastAsia="Arial" w:hAnsi="Arial" w:cs="Arial"/>
                <w:b/>
                <w:color w:val="00B050"/>
                <w:sz w:val="16"/>
                <w:szCs w:val="16"/>
              </w:rPr>
              <w:t>Delineación urbana</w:t>
            </w:r>
          </w:p>
        </w:tc>
        <w:tc>
          <w:tcPr>
            <w:tcW w:w="1126" w:type="dxa"/>
            <w:shd w:val="clear" w:color="auto" w:fill="EBF1DD"/>
            <w:vAlign w:val="center"/>
          </w:tcPr>
          <w:p w14:paraId="413407D9" w14:textId="77777777" w:rsidR="0018473E" w:rsidRPr="00F635C4" w:rsidRDefault="00015EA5">
            <w:pPr>
              <w:jc w:val="center"/>
              <w:rPr>
                <w:rFonts w:ascii="Arial" w:eastAsia="Arial" w:hAnsi="Arial" w:cs="Arial"/>
                <w:b/>
                <w:color w:val="00B050"/>
                <w:sz w:val="16"/>
                <w:szCs w:val="16"/>
              </w:rPr>
            </w:pPr>
            <w:r w:rsidRPr="00F635C4">
              <w:rPr>
                <w:rFonts w:ascii="Arial" w:eastAsia="Arial" w:hAnsi="Arial" w:cs="Arial"/>
                <w:b/>
                <w:color w:val="00B050"/>
                <w:sz w:val="16"/>
                <w:szCs w:val="16"/>
              </w:rPr>
              <w:t>ICA materiales</w:t>
            </w:r>
          </w:p>
        </w:tc>
        <w:tc>
          <w:tcPr>
            <w:tcW w:w="706" w:type="dxa"/>
            <w:shd w:val="clear" w:color="auto" w:fill="EBF1DD"/>
            <w:vAlign w:val="center"/>
          </w:tcPr>
          <w:p w14:paraId="041DF4C4" w14:textId="77777777" w:rsidR="0018473E" w:rsidRPr="00F635C4" w:rsidRDefault="00015EA5">
            <w:pPr>
              <w:jc w:val="center"/>
              <w:rPr>
                <w:rFonts w:ascii="Arial" w:eastAsia="Arial" w:hAnsi="Arial" w:cs="Arial"/>
                <w:b/>
                <w:color w:val="00B050"/>
                <w:sz w:val="16"/>
                <w:szCs w:val="16"/>
              </w:rPr>
            </w:pPr>
            <w:r w:rsidRPr="00F635C4">
              <w:rPr>
                <w:rFonts w:ascii="Arial" w:eastAsia="Arial" w:hAnsi="Arial" w:cs="Arial"/>
                <w:b/>
                <w:color w:val="00B050"/>
                <w:sz w:val="16"/>
                <w:szCs w:val="16"/>
              </w:rPr>
              <w:t>ICA venta</w:t>
            </w:r>
          </w:p>
        </w:tc>
        <w:tc>
          <w:tcPr>
            <w:tcW w:w="928" w:type="dxa"/>
            <w:shd w:val="clear" w:color="auto" w:fill="EBF1DD"/>
            <w:vAlign w:val="center"/>
          </w:tcPr>
          <w:p w14:paraId="0C43AA05" w14:textId="77777777" w:rsidR="0018473E" w:rsidRPr="00F635C4" w:rsidRDefault="00015EA5">
            <w:pPr>
              <w:jc w:val="center"/>
              <w:rPr>
                <w:rFonts w:ascii="Arial" w:eastAsia="Arial" w:hAnsi="Arial" w:cs="Arial"/>
                <w:b/>
                <w:color w:val="00B050"/>
                <w:sz w:val="16"/>
                <w:szCs w:val="16"/>
              </w:rPr>
            </w:pPr>
            <w:r w:rsidRPr="00F635C4">
              <w:rPr>
                <w:rFonts w:ascii="Arial" w:eastAsia="Arial" w:hAnsi="Arial" w:cs="Arial"/>
                <w:b/>
                <w:color w:val="00B050"/>
                <w:sz w:val="16"/>
                <w:szCs w:val="16"/>
              </w:rPr>
              <w:t>Predial completo</w:t>
            </w:r>
          </w:p>
        </w:tc>
        <w:tc>
          <w:tcPr>
            <w:tcW w:w="1164" w:type="dxa"/>
            <w:shd w:val="clear" w:color="auto" w:fill="EBF1DD"/>
            <w:vAlign w:val="center"/>
          </w:tcPr>
          <w:p w14:paraId="1ADE38BE" w14:textId="77777777" w:rsidR="0018473E" w:rsidRPr="00F635C4" w:rsidRDefault="00015EA5">
            <w:pPr>
              <w:jc w:val="center"/>
              <w:rPr>
                <w:rFonts w:ascii="Arial" w:eastAsia="Arial" w:hAnsi="Arial" w:cs="Arial"/>
                <w:b/>
                <w:color w:val="00B050"/>
                <w:sz w:val="16"/>
                <w:szCs w:val="16"/>
              </w:rPr>
            </w:pPr>
            <w:r w:rsidRPr="00F635C4">
              <w:rPr>
                <w:rFonts w:ascii="Arial" w:eastAsia="Arial" w:hAnsi="Arial" w:cs="Arial"/>
                <w:b/>
                <w:color w:val="00B050"/>
                <w:sz w:val="16"/>
                <w:szCs w:val="16"/>
              </w:rPr>
              <w:t>Total</w:t>
            </w:r>
          </w:p>
        </w:tc>
        <w:tc>
          <w:tcPr>
            <w:tcW w:w="1345" w:type="dxa"/>
            <w:vMerge/>
            <w:vAlign w:val="center"/>
          </w:tcPr>
          <w:p w14:paraId="5A3389F8" w14:textId="77777777" w:rsidR="0018473E" w:rsidRPr="00F635C4" w:rsidRDefault="0018473E">
            <w:pPr>
              <w:widowControl w:val="0"/>
              <w:pBdr>
                <w:top w:val="nil"/>
                <w:left w:val="nil"/>
                <w:bottom w:val="nil"/>
                <w:right w:val="nil"/>
                <w:between w:val="nil"/>
              </w:pBdr>
              <w:spacing w:line="276" w:lineRule="auto"/>
              <w:rPr>
                <w:rFonts w:ascii="Arial" w:eastAsia="Arial" w:hAnsi="Arial" w:cs="Arial"/>
                <w:b/>
                <w:color w:val="00B050"/>
                <w:sz w:val="16"/>
                <w:szCs w:val="16"/>
              </w:rPr>
            </w:pPr>
          </w:p>
        </w:tc>
      </w:tr>
      <w:tr w:rsidR="0018473E" w:rsidRPr="00F635C4" w14:paraId="05CD5718" w14:textId="77777777">
        <w:trPr>
          <w:trHeight w:val="285"/>
        </w:trPr>
        <w:tc>
          <w:tcPr>
            <w:tcW w:w="1034" w:type="dxa"/>
            <w:vAlign w:val="center"/>
          </w:tcPr>
          <w:p w14:paraId="7EAE4764"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0%</w:t>
            </w:r>
          </w:p>
        </w:tc>
        <w:tc>
          <w:tcPr>
            <w:tcW w:w="817" w:type="dxa"/>
            <w:vAlign w:val="center"/>
          </w:tcPr>
          <w:p w14:paraId="7EF5B0E6"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2,6%</w:t>
            </w:r>
          </w:p>
        </w:tc>
        <w:tc>
          <w:tcPr>
            <w:tcW w:w="1115" w:type="dxa"/>
            <w:vAlign w:val="center"/>
          </w:tcPr>
          <w:p w14:paraId="32906536"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369.321</w:t>
            </w:r>
          </w:p>
        </w:tc>
        <w:tc>
          <w:tcPr>
            <w:tcW w:w="1115" w:type="dxa"/>
            <w:vAlign w:val="center"/>
          </w:tcPr>
          <w:p w14:paraId="6887939E" w14:textId="77777777" w:rsidR="0018473E" w:rsidRPr="00F635C4" w:rsidRDefault="0018473E">
            <w:pPr>
              <w:jc w:val="center"/>
              <w:rPr>
                <w:rFonts w:ascii="Arial" w:eastAsia="Arial" w:hAnsi="Arial" w:cs="Arial"/>
                <w:color w:val="000000"/>
                <w:sz w:val="16"/>
                <w:szCs w:val="16"/>
              </w:rPr>
            </w:pPr>
          </w:p>
        </w:tc>
        <w:tc>
          <w:tcPr>
            <w:tcW w:w="1126" w:type="dxa"/>
            <w:vAlign w:val="center"/>
          </w:tcPr>
          <w:p w14:paraId="34370DC9"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24.883</w:t>
            </w:r>
          </w:p>
        </w:tc>
        <w:tc>
          <w:tcPr>
            <w:tcW w:w="706" w:type="dxa"/>
            <w:vAlign w:val="center"/>
          </w:tcPr>
          <w:p w14:paraId="3F189563"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43.318</w:t>
            </w:r>
          </w:p>
        </w:tc>
        <w:tc>
          <w:tcPr>
            <w:tcW w:w="928" w:type="dxa"/>
            <w:vAlign w:val="center"/>
          </w:tcPr>
          <w:p w14:paraId="2D27C7BD"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65.947</w:t>
            </w:r>
          </w:p>
        </w:tc>
        <w:tc>
          <w:tcPr>
            <w:tcW w:w="1164" w:type="dxa"/>
            <w:vAlign w:val="center"/>
          </w:tcPr>
          <w:p w14:paraId="6A267027"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134.148</w:t>
            </w:r>
          </w:p>
        </w:tc>
        <w:tc>
          <w:tcPr>
            <w:tcW w:w="1345" w:type="dxa"/>
            <w:vAlign w:val="center"/>
          </w:tcPr>
          <w:p w14:paraId="5FA987D8" w14:textId="77777777" w:rsidR="0018473E" w:rsidRPr="00F635C4" w:rsidRDefault="00015EA5">
            <w:pPr>
              <w:jc w:val="center"/>
              <w:rPr>
                <w:rFonts w:ascii="Arial" w:eastAsia="Arial" w:hAnsi="Arial" w:cs="Arial"/>
                <w:color w:val="9C0006"/>
                <w:sz w:val="16"/>
                <w:szCs w:val="16"/>
              </w:rPr>
            </w:pPr>
            <w:r w:rsidRPr="00F635C4">
              <w:rPr>
                <w:rFonts w:ascii="Arial" w:eastAsia="Arial" w:hAnsi="Arial" w:cs="Arial"/>
                <w:color w:val="9C0006"/>
                <w:sz w:val="16"/>
                <w:szCs w:val="16"/>
              </w:rPr>
              <w:t>-235.173</w:t>
            </w:r>
          </w:p>
        </w:tc>
      </w:tr>
      <w:tr w:rsidR="0018473E" w:rsidRPr="00F635C4" w14:paraId="74DFFD0F" w14:textId="77777777">
        <w:trPr>
          <w:trHeight w:val="300"/>
        </w:trPr>
        <w:tc>
          <w:tcPr>
            <w:tcW w:w="1034" w:type="dxa"/>
            <w:shd w:val="clear" w:color="auto" w:fill="D9D9D9"/>
            <w:vAlign w:val="center"/>
          </w:tcPr>
          <w:p w14:paraId="3192DD3B"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65%</w:t>
            </w:r>
          </w:p>
        </w:tc>
        <w:tc>
          <w:tcPr>
            <w:tcW w:w="817" w:type="dxa"/>
            <w:shd w:val="clear" w:color="auto" w:fill="D9D9D9"/>
            <w:vAlign w:val="center"/>
          </w:tcPr>
          <w:p w14:paraId="6A3DEC09"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0,91%</w:t>
            </w:r>
          </w:p>
        </w:tc>
        <w:tc>
          <w:tcPr>
            <w:tcW w:w="1115" w:type="dxa"/>
            <w:shd w:val="clear" w:color="auto" w:fill="D9D9D9"/>
            <w:vAlign w:val="center"/>
          </w:tcPr>
          <w:p w14:paraId="6494F9AC"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240.059</w:t>
            </w:r>
          </w:p>
        </w:tc>
        <w:tc>
          <w:tcPr>
            <w:tcW w:w="1115" w:type="dxa"/>
            <w:shd w:val="clear" w:color="auto" w:fill="D9D9D9"/>
            <w:vAlign w:val="center"/>
          </w:tcPr>
          <w:p w14:paraId="423B249C"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129.262</w:t>
            </w:r>
          </w:p>
        </w:tc>
        <w:tc>
          <w:tcPr>
            <w:tcW w:w="1126" w:type="dxa"/>
            <w:shd w:val="clear" w:color="auto" w:fill="D9D9D9"/>
            <w:vAlign w:val="center"/>
          </w:tcPr>
          <w:p w14:paraId="71F84870"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24.883</w:t>
            </w:r>
          </w:p>
        </w:tc>
        <w:tc>
          <w:tcPr>
            <w:tcW w:w="706" w:type="dxa"/>
            <w:shd w:val="clear" w:color="auto" w:fill="D9D9D9"/>
            <w:vAlign w:val="center"/>
          </w:tcPr>
          <w:p w14:paraId="5CFFF3BC"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43.318</w:t>
            </w:r>
          </w:p>
        </w:tc>
        <w:tc>
          <w:tcPr>
            <w:tcW w:w="928" w:type="dxa"/>
            <w:shd w:val="clear" w:color="auto" w:fill="D9D9D9"/>
            <w:vAlign w:val="center"/>
          </w:tcPr>
          <w:p w14:paraId="623667A9"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65.947</w:t>
            </w:r>
          </w:p>
        </w:tc>
        <w:tc>
          <w:tcPr>
            <w:tcW w:w="1164" w:type="dxa"/>
            <w:shd w:val="clear" w:color="auto" w:fill="D9D9D9"/>
            <w:vAlign w:val="center"/>
          </w:tcPr>
          <w:p w14:paraId="5C339B9B"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263.411</w:t>
            </w:r>
          </w:p>
        </w:tc>
        <w:tc>
          <w:tcPr>
            <w:tcW w:w="1345" w:type="dxa"/>
            <w:shd w:val="clear" w:color="auto" w:fill="D9D9D9"/>
            <w:vAlign w:val="center"/>
          </w:tcPr>
          <w:p w14:paraId="42E561A6" w14:textId="77777777" w:rsidR="0018473E" w:rsidRPr="00F635C4" w:rsidRDefault="00015EA5">
            <w:pPr>
              <w:jc w:val="center"/>
              <w:rPr>
                <w:rFonts w:ascii="Arial" w:eastAsia="Arial" w:hAnsi="Arial" w:cs="Arial"/>
                <w:color w:val="006100"/>
                <w:sz w:val="16"/>
                <w:szCs w:val="16"/>
              </w:rPr>
            </w:pPr>
            <w:r w:rsidRPr="00F635C4">
              <w:rPr>
                <w:rFonts w:ascii="Arial" w:eastAsia="Arial" w:hAnsi="Arial" w:cs="Arial"/>
                <w:color w:val="006100"/>
                <w:sz w:val="16"/>
                <w:szCs w:val="16"/>
              </w:rPr>
              <w:t>23.352</w:t>
            </w:r>
          </w:p>
        </w:tc>
      </w:tr>
      <w:tr w:rsidR="0018473E" w:rsidRPr="00F635C4" w14:paraId="4648052A" w14:textId="77777777">
        <w:trPr>
          <w:trHeight w:val="285"/>
        </w:trPr>
        <w:tc>
          <w:tcPr>
            <w:tcW w:w="1034" w:type="dxa"/>
            <w:vAlign w:val="center"/>
          </w:tcPr>
          <w:p w14:paraId="4FFC2DE5"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50%</w:t>
            </w:r>
          </w:p>
        </w:tc>
        <w:tc>
          <w:tcPr>
            <w:tcW w:w="817" w:type="dxa"/>
            <w:vAlign w:val="center"/>
          </w:tcPr>
          <w:p w14:paraId="1879975D"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1,30%</w:t>
            </w:r>
          </w:p>
        </w:tc>
        <w:tc>
          <w:tcPr>
            <w:tcW w:w="1115" w:type="dxa"/>
            <w:vAlign w:val="center"/>
          </w:tcPr>
          <w:p w14:paraId="0BB09737"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184.660</w:t>
            </w:r>
          </w:p>
        </w:tc>
        <w:tc>
          <w:tcPr>
            <w:tcW w:w="1115" w:type="dxa"/>
            <w:vAlign w:val="center"/>
          </w:tcPr>
          <w:p w14:paraId="10A5D6F3"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184.660</w:t>
            </w:r>
          </w:p>
        </w:tc>
        <w:tc>
          <w:tcPr>
            <w:tcW w:w="1126" w:type="dxa"/>
            <w:vAlign w:val="center"/>
          </w:tcPr>
          <w:p w14:paraId="4533E412"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24.883</w:t>
            </w:r>
          </w:p>
        </w:tc>
        <w:tc>
          <w:tcPr>
            <w:tcW w:w="706" w:type="dxa"/>
            <w:vAlign w:val="center"/>
          </w:tcPr>
          <w:p w14:paraId="72C15E6D"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43.318</w:t>
            </w:r>
          </w:p>
        </w:tc>
        <w:tc>
          <w:tcPr>
            <w:tcW w:w="928" w:type="dxa"/>
            <w:vAlign w:val="center"/>
          </w:tcPr>
          <w:p w14:paraId="7F507E45"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65.947</w:t>
            </w:r>
          </w:p>
        </w:tc>
        <w:tc>
          <w:tcPr>
            <w:tcW w:w="1164" w:type="dxa"/>
            <w:vAlign w:val="center"/>
          </w:tcPr>
          <w:p w14:paraId="4E0914E0"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318.809</w:t>
            </w:r>
          </w:p>
        </w:tc>
        <w:tc>
          <w:tcPr>
            <w:tcW w:w="1345" w:type="dxa"/>
            <w:vAlign w:val="center"/>
          </w:tcPr>
          <w:p w14:paraId="4D72C04C" w14:textId="77777777" w:rsidR="0018473E" w:rsidRPr="00F635C4" w:rsidRDefault="00015EA5">
            <w:pPr>
              <w:jc w:val="center"/>
              <w:rPr>
                <w:rFonts w:ascii="Arial" w:eastAsia="Arial" w:hAnsi="Arial" w:cs="Arial"/>
                <w:color w:val="006100"/>
                <w:sz w:val="16"/>
                <w:szCs w:val="16"/>
              </w:rPr>
            </w:pPr>
            <w:r w:rsidRPr="00F635C4">
              <w:rPr>
                <w:rFonts w:ascii="Arial" w:eastAsia="Arial" w:hAnsi="Arial" w:cs="Arial"/>
                <w:color w:val="006100"/>
                <w:sz w:val="16"/>
                <w:szCs w:val="16"/>
              </w:rPr>
              <w:t>134.148</w:t>
            </w:r>
          </w:p>
        </w:tc>
      </w:tr>
      <w:tr w:rsidR="0018473E" w:rsidRPr="00F635C4" w14:paraId="7CAF37A2" w14:textId="77777777">
        <w:trPr>
          <w:trHeight w:val="300"/>
        </w:trPr>
        <w:tc>
          <w:tcPr>
            <w:tcW w:w="1034" w:type="dxa"/>
            <w:vAlign w:val="center"/>
          </w:tcPr>
          <w:p w14:paraId="53FB0921"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25%</w:t>
            </w:r>
          </w:p>
        </w:tc>
        <w:tc>
          <w:tcPr>
            <w:tcW w:w="817" w:type="dxa"/>
            <w:vAlign w:val="center"/>
          </w:tcPr>
          <w:p w14:paraId="609A0DE7"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1,95%</w:t>
            </w:r>
          </w:p>
        </w:tc>
        <w:tc>
          <w:tcPr>
            <w:tcW w:w="1115" w:type="dxa"/>
            <w:vAlign w:val="center"/>
          </w:tcPr>
          <w:p w14:paraId="11144BBC"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92.330</w:t>
            </w:r>
          </w:p>
        </w:tc>
        <w:tc>
          <w:tcPr>
            <w:tcW w:w="1115" w:type="dxa"/>
            <w:vAlign w:val="center"/>
          </w:tcPr>
          <w:p w14:paraId="52AA2597"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276.991</w:t>
            </w:r>
          </w:p>
        </w:tc>
        <w:tc>
          <w:tcPr>
            <w:tcW w:w="1126" w:type="dxa"/>
            <w:vAlign w:val="center"/>
          </w:tcPr>
          <w:p w14:paraId="6470F7D5"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24.883</w:t>
            </w:r>
          </w:p>
        </w:tc>
        <w:tc>
          <w:tcPr>
            <w:tcW w:w="706" w:type="dxa"/>
            <w:vAlign w:val="center"/>
          </w:tcPr>
          <w:p w14:paraId="5CE08862"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43.318</w:t>
            </w:r>
          </w:p>
        </w:tc>
        <w:tc>
          <w:tcPr>
            <w:tcW w:w="928" w:type="dxa"/>
            <w:vAlign w:val="center"/>
          </w:tcPr>
          <w:p w14:paraId="2CDD07EC"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65.947</w:t>
            </w:r>
          </w:p>
        </w:tc>
        <w:tc>
          <w:tcPr>
            <w:tcW w:w="1164" w:type="dxa"/>
            <w:vAlign w:val="center"/>
          </w:tcPr>
          <w:p w14:paraId="3685A6ED" w14:textId="77777777" w:rsidR="0018473E" w:rsidRPr="00F635C4" w:rsidRDefault="00015EA5">
            <w:pPr>
              <w:jc w:val="center"/>
              <w:rPr>
                <w:rFonts w:ascii="Arial" w:eastAsia="Arial" w:hAnsi="Arial" w:cs="Arial"/>
                <w:color w:val="000000"/>
                <w:sz w:val="16"/>
                <w:szCs w:val="16"/>
              </w:rPr>
            </w:pPr>
            <w:r w:rsidRPr="00F635C4">
              <w:rPr>
                <w:rFonts w:ascii="Arial" w:eastAsia="Arial" w:hAnsi="Arial" w:cs="Arial"/>
                <w:color w:val="000000"/>
                <w:sz w:val="16"/>
                <w:szCs w:val="16"/>
              </w:rPr>
              <w:t>411.139</w:t>
            </w:r>
          </w:p>
        </w:tc>
        <w:tc>
          <w:tcPr>
            <w:tcW w:w="1345" w:type="dxa"/>
            <w:vAlign w:val="center"/>
          </w:tcPr>
          <w:p w14:paraId="4061A2CC" w14:textId="77777777" w:rsidR="0018473E" w:rsidRPr="00F635C4" w:rsidRDefault="00015EA5">
            <w:pPr>
              <w:jc w:val="center"/>
              <w:rPr>
                <w:rFonts w:ascii="Arial" w:eastAsia="Arial" w:hAnsi="Arial" w:cs="Arial"/>
                <w:color w:val="006100"/>
                <w:sz w:val="16"/>
                <w:szCs w:val="16"/>
              </w:rPr>
            </w:pPr>
            <w:r w:rsidRPr="00F635C4">
              <w:rPr>
                <w:rFonts w:ascii="Arial" w:eastAsia="Arial" w:hAnsi="Arial" w:cs="Arial"/>
                <w:color w:val="006100"/>
                <w:sz w:val="16"/>
                <w:szCs w:val="16"/>
              </w:rPr>
              <w:t>318.809</w:t>
            </w:r>
          </w:p>
        </w:tc>
      </w:tr>
    </w:tbl>
    <w:p w14:paraId="4ADADEA0" w14:textId="77777777" w:rsidR="0018473E" w:rsidRPr="00F635C4" w:rsidRDefault="0018473E">
      <w:pPr>
        <w:rPr>
          <w:rFonts w:ascii="Arial" w:hAnsi="Arial" w:cs="Arial"/>
        </w:rPr>
      </w:pPr>
    </w:p>
    <w:p w14:paraId="499B7A7D" w14:textId="77777777" w:rsidR="0018473E" w:rsidRPr="00F635C4" w:rsidRDefault="00015EA5">
      <w:pPr>
        <w:jc w:val="both"/>
        <w:rPr>
          <w:rFonts w:ascii="Arial" w:eastAsia="Arial" w:hAnsi="Arial" w:cs="Arial"/>
          <w:b/>
          <w:sz w:val="22"/>
          <w:szCs w:val="22"/>
        </w:rPr>
      </w:pPr>
      <w:r w:rsidRPr="00F635C4">
        <w:rPr>
          <w:rFonts w:ascii="Arial" w:eastAsia="Arial" w:hAnsi="Arial" w:cs="Arial"/>
          <w:b/>
          <w:sz w:val="22"/>
          <w:szCs w:val="22"/>
        </w:rPr>
        <w:t>2.3.4. BENEFICIOS ADICIONALES</w:t>
      </w:r>
    </w:p>
    <w:p w14:paraId="6CB6E97F" w14:textId="77777777" w:rsidR="0018473E" w:rsidRPr="00F635C4" w:rsidRDefault="0018473E">
      <w:pPr>
        <w:rPr>
          <w:rFonts w:ascii="Arial" w:hAnsi="Arial" w:cs="Arial"/>
        </w:rPr>
      </w:pPr>
    </w:p>
    <w:p w14:paraId="6F2AC6D7" w14:textId="57201AC4" w:rsidR="0018473E" w:rsidRPr="00F635C4" w:rsidRDefault="00324460" w:rsidP="002574BA">
      <w:pPr>
        <w:jc w:val="both"/>
        <w:rPr>
          <w:rFonts w:ascii="Arial" w:eastAsia="Arial" w:hAnsi="Arial" w:cs="Arial"/>
          <w:sz w:val="22"/>
          <w:szCs w:val="22"/>
        </w:rPr>
      </w:pPr>
      <w:r w:rsidRPr="00F635C4">
        <w:rPr>
          <w:rFonts w:ascii="Arial" w:eastAsia="Arial" w:hAnsi="Arial" w:cs="Arial"/>
          <w:sz w:val="22"/>
          <w:szCs w:val="22"/>
        </w:rPr>
        <w:t>La autora concluye que, e</w:t>
      </w:r>
      <w:r w:rsidR="00D26072" w:rsidRPr="00F635C4">
        <w:rPr>
          <w:rFonts w:ascii="Arial" w:eastAsia="Arial" w:hAnsi="Arial" w:cs="Arial"/>
          <w:sz w:val="22"/>
          <w:szCs w:val="22"/>
        </w:rPr>
        <w:t>l volumen de vivienda proyectado generaría cerca de 154.753 empleos directos y 213.895 indirectos, junto con una inversión de $25,6 billones y una demanda de insumos de $12,8 billones. Además, la vivienda social contribuye a crear parques y zonas verdes que ayudan a reducir la contaminación del aire y, al localizarse en zonas centrales, disminuye la segregación socioeconómica, amplía la oferta para hogares de menores ingresos, estabiliza los precios y reduce el costo de vida.</w:t>
      </w:r>
    </w:p>
    <w:p w14:paraId="5D3FA45A" w14:textId="77777777" w:rsidR="00D26072" w:rsidRPr="00F635C4" w:rsidRDefault="00D26072">
      <w:pPr>
        <w:rPr>
          <w:rFonts w:ascii="Arial" w:eastAsia="Arial" w:hAnsi="Arial" w:cs="Arial"/>
          <w:b/>
          <w:sz w:val="22"/>
          <w:szCs w:val="22"/>
        </w:rPr>
      </w:pPr>
    </w:p>
    <w:p w14:paraId="571B25EF" w14:textId="1387A90D" w:rsidR="0018473E" w:rsidRPr="00F635C4" w:rsidRDefault="00015EA5">
      <w:pPr>
        <w:jc w:val="center"/>
        <w:rPr>
          <w:rFonts w:ascii="Arial" w:eastAsia="Arial" w:hAnsi="Arial" w:cs="Arial"/>
          <w:b/>
          <w:sz w:val="22"/>
          <w:szCs w:val="22"/>
        </w:rPr>
      </w:pPr>
      <w:r w:rsidRPr="00F635C4">
        <w:rPr>
          <w:rFonts w:ascii="Arial" w:eastAsia="Arial" w:hAnsi="Arial" w:cs="Arial"/>
          <w:b/>
          <w:sz w:val="22"/>
          <w:szCs w:val="22"/>
        </w:rPr>
        <w:t>5. ANÁLISIS JURÍDICO DE LA INICIATIVA</w:t>
      </w:r>
      <w:r w:rsidR="00D26072" w:rsidRPr="00F635C4">
        <w:rPr>
          <w:rFonts w:ascii="Arial" w:eastAsia="Arial" w:hAnsi="Arial" w:cs="Arial"/>
          <w:b/>
          <w:sz w:val="22"/>
          <w:szCs w:val="22"/>
        </w:rPr>
        <w:t xml:space="preserve"> ELABORADO POR LA AUTORA</w:t>
      </w:r>
    </w:p>
    <w:p w14:paraId="478B172B" w14:textId="77777777" w:rsidR="0018473E" w:rsidRPr="00F635C4" w:rsidRDefault="0018473E">
      <w:pPr>
        <w:jc w:val="center"/>
        <w:rPr>
          <w:rFonts w:ascii="Arial" w:eastAsia="Arial" w:hAnsi="Arial" w:cs="Arial"/>
          <w:sz w:val="22"/>
          <w:szCs w:val="22"/>
        </w:rPr>
      </w:pPr>
    </w:p>
    <w:p w14:paraId="3E04A231" w14:textId="52C7499F" w:rsidR="0018473E" w:rsidRPr="00F635C4" w:rsidRDefault="008C3D7F">
      <w:pPr>
        <w:spacing w:before="240" w:after="240"/>
        <w:jc w:val="both"/>
        <w:rPr>
          <w:rFonts w:ascii="Arial" w:eastAsia="Arial" w:hAnsi="Arial" w:cs="Arial"/>
          <w:sz w:val="22"/>
          <w:szCs w:val="22"/>
        </w:rPr>
      </w:pPr>
      <w:r w:rsidRPr="00F635C4">
        <w:rPr>
          <w:rFonts w:ascii="Arial" w:eastAsia="Arial" w:hAnsi="Arial" w:cs="Arial"/>
          <w:sz w:val="22"/>
          <w:szCs w:val="22"/>
        </w:rPr>
        <w:t>La autora de</w:t>
      </w:r>
      <w:r w:rsidR="00015EA5" w:rsidRPr="00F635C4">
        <w:rPr>
          <w:rFonts w:ascii="Arial" w:eastAsia="Arial" w:hAnsi="Arial" w:cs="Arial"/>
          <w:sz w:val="22"/>
          <w:szCs w:val="22"/>
        </w:rPr>
        <w:t xml:space="preserve"> este proyecto</w:t>
      </w:r>
      <w:r w:rsidRPr="00F635C4">
        <w:rPr>
          <w:rFonts w:ascii="Arial" w:eastAsia="Arial" w:hAnsi="Arial" w:cs="Arial"/>
          <w:sz w:val="22"/>
          <w:szCs w:val="22"/>
        </w:rPr>
        <w:t xml:space="preserve"> de acuerdo</w:t>
      </w:r>
      <w:r w:rsidR="00015EA5" w:rsidRPr="00F635C4">
        <w:rPr>
          <w:rFonts w:ascii="Arial" w:eastAsia="Arial" w:hAnsi="Arial" w:cs="Arial"/>
          <w:sz w:val="22"/>
          <w:szCs w:val="22"/>
        </w:rPr>
        <w:t xml:space="preserve"> </w:t>
      </w:r>
      <w:r w:rsidRPr="00F635C4">
        <w:rPr>
          <w:rFonts w:ascii="Arial" w:eastAsia="Arial" w:hAnsi="Arial" w:cs="Arial"/>
          <w:sz w:val="22"/>
          <w:szCs w:val="22"/>
        </w:rPr>
        <w:t>lo</w:t>
      </w:r>
      <w:r w:rsidR="00015EA5" w:rsidRPr="00F635C4">
        <w:rPr>
          <w:rFonts w:ascii="Arial" w:eastAsia="Arial" w:hAnsi="Arial" w:cs="Arial"/>
          <w:sz w:val="22"/>
          <w:szCs w:val="22"/>
        </w:rPr>
        <w:t xml:space="preserve"> sustenta jurídicamente en la siguiente normatividad:</w:t>
      </w:r>
    </w:p>
    <w:p w14:paraId="52CEF5E9" w14:textId="4A015E4E" w:rsidR="0018473E" w:rsidRPr="00F635C4" w:rsidRDefault="00015EA5">
      <w:pPr>
        <w:spacing w:after="160" w:line="259" w:lineRule="auto"/>
        <w:jc w:val="both"/>
        <w:rPr>
          <w:rFonts w:ascii="Arial" w:eastAsia="Arial" w:hAnsi="Arial" w:cs="Arial"/>
          <w:b/>
          <w:sz w:val="22"/>
          <w:szCs w:val="22"/>
        </w:rPr>
      </w:pPr>
      <w:r w:rsidRPr="00F635C4">
        <w:rPr>
          <w:rFonts w:ascii="Arial" w:eastAsia="Arial" w:hAnsi="Arial" w:cs="Arial"/>
          <w:b/>
          <w:sz w:val="22"/>
          <w:szCs w:val="22"/>
        </w:rPr>
        <w:t>5.1 De orden internacional</w:t>
      </w:r>
      <w:r w:rsidR="002572BE" w:rsidRPr="00F635C4">
        <w:rPr>
          <w:rFonts w:ascii="Arial" w:eastAsia="Arial" w:hAnsi="Arial" w:cs="Arial"/>
          <w:b/>
          <w:sz w:val="22"/>
          <w:szCs w:val="22"/>
        </w:rPr>
        <w:t xml:space="preserve"> y Constitucional</w:t>
      </w:r>
      <w:r w:rsidRPr="00F635C4">
        <w:rPr>
          <w:rFonts w:ascii="Arial" w:eastAsia="Arial" w:hAnsi="Arial" w:cs="Arial"/>
          <w:b/>
          <w:sz w:val="22"/>
          <w:szCs w:val="22"/>
        </w:rPr>
        <w:t xml:space="preserve">: </w:t>
      </w:r>
    </w:p>
    <w:p w14:paraId="6474D39F" w14:textId="75F5E5FE" w:rsidR="002572BE" w:rsidRPr="00F635C4" w:rsidRDefault="002572BE" w:rsidP="002572BE">
      <w:pPr>
        <w:spacing w:after="160" w:line="259" w:lineRule="auto"/>
        <w:jc w:val="both"/>
        <w:rPr>
          <w:rFonts w:ascii="Arial" w:eastAsia="Arial" w:hAnsi="Arial" w:cs="Arial"/>
          <w:bCs/>
          <w:sz w:val="22"/>
          <w:szCs w:val="22"/>
        </w:rPr>
      </w:pPr>
      <w:r w:rsidRPr="00F635C4">
        <w:rPr>
          <w:rFonts w:ascii="Arial" w:eastAsia="Arial" w:hAnsi="Arial" w:cs="Arial"/>
          <w:bCs/>
          <w:sz w:val="22"/>
          <w:szCs w:val="22"/>
        </w:rPr>
        <w:t>La iniciativa se alinea globalmente con los Objetivos de Desarrollo Sostenible (ODS) de la Agenda 2030 (específicamente los ODS 8, 10, 11 y 16) y la Nueva Agenda Urbana de ONU-Hábitat. Estos instrumentos buscan promover el crecimiento económico, reducir desigualdades, fomentar la urbanización inclusiva y evitar la gentrificación.</w:t>
      </w:r>
    </w:p>
    <w:p w14:paraId="318BC18F" w14:textId="7175C388" w:rsidR="002572BE" w:rsidRPr="00F635C4" w:rsidRDefault="002572BE" w:rsidP="002572BE">
      <w:pPr>
        <w:spacing w:after="160" w:line="259" w:lineRule="auto"/>
        <w:jc w:val="both"/>
        <w:rPr>
          <w:rFonts w:ascii="Arial" w:eastAsia="Arial" w:hAnsi="Arial" w:cs="Arial"/>
          <w:bCs/>
          <w:sz w:val="22"/>
          <w:szCs w:val="22"/>
        </w:rPr>
      </w:pPr>
      <w:r w:rsidRPr="00F635C4">
        <w:rPr>
          <w:rFonts w:ascii="Arial" w:eastAsia="Arial" w:hAnsi="Arial" w:cs="Arial"/>
          <w:bCs/>
          <w:sz w:val="22"/>
          <w:szCs w:val="22"/>
        </w:rPr>
        <w:t>A nivel constitucional, el proyecto se respalda en el Estado Social de Derecho y la autonomía de las entidades territoriales</w:t>
      </w:r>
      <w:r w:rsidR="007D10E3" w:rsidRPr="00F635C4">
        <w:rPr>
          <w:rStyle w:val="Refdenotaalpie"/>
          <w:rFonts w:ascii="Arial" w:eastAsia="Arial" w:hAnsi="Arial" w:cs="Arial"/>
          <w:bCs/>
          <w:sz w:val="22"/>
          <w:szCs w:val="22"/>
        </w:rPr>
        <w:footnoteReference w:id="1"/>
      </w:r>
      <w:r w:rsidRPr="00F635C4">
        <w:rPr>
          <w:rFonts w:ascii="Arial" w:eastAsia="Arial" w:hAnsi="Arial" w:cs="Arial"/>
          <w:bCs/>
          <w:sz w:val="22"/>
          <w:szCs w:val="22"/>
        </w:rPr>
        <w:t>. Se destacan el derecho a la vivienda digna</w:t>
      </w:r>
      <w:r w:rsidR="007D10E3" w:rsidRPr="00F635C4">
        <w:rPr>
          <w:rStyle w:val="Refdenotaalpie"/>
          <w:rFonts w:ascii="Arial" w:eastAsia="Arial" w:hAnsi="Arial" w:cs="Arial"/>
          <w:bCs/>
          <w:sz w:val="22"/>
          <w:szCs w:val="22"/>
        </w:rPr>
        <w:footnoteReference w:id="2"/>
      </w:r>
      <w:r w:rsidRPr="00F635C4">
        <w:rPr>
          <w:rFonts w:ascii="Arial" w:eastAsia="Arial" w:hAnsi="Arial" w:cs="Arial"/>
          <w:bCs/>
          <w:sz w:val="22"/>
          <w:szCs w:val="22"/>
        </w:rPr>
        <w:t>, la protección del espacio público</w:t>
      </w:r>
      <w:r w:rsidR="007D10E3" w:rsidRPr="00F635C4">
        <w:rPr>
          <w:rStyle w:val="Refdenotaalpie"/>
          <w:rFonts w:ascii="Arial" w:eastAsia="Arial" w:hAnsi="Arial" w:cs="Arial"/>
          <w:bCs/>
          <w:sz w:val="22"/>
          <w:szCs w:val="22"/>
        </w:rPr>
        <w:footnoteReference w:id="3"/>
      </w:r>
      <w:r w:rsidRPr="00F635C4">
        <w:rPr>
          <w:rFonts w:ascii="Arial" w:eastAsia="Arial" w:hAnsi="Arial" w:cs="Arial"/>
          <w:bCs/>
          <w:sz w:val="22"/>
          <w:szCs w:val="22"/>
        </w:rPr>
        <w:t xml:space="preserve"> y la libertad económica con responsabilidad social</w:t>
      </w:r>
      <w:r w:rsidR="007D10E3" w:rsidRPr="00F635C4">
        <w:rPr>
          <w:rStyle w:val="Refdenotaalpie"/>
          <w:rFonts w:ascii="Arial" w:eastAsia="Arial" w:hAnsi="Arial" w:cs="Arial"/>
          <w:bCs/>
          <w:sz w:val="22"/>
          <w:szCs w:val="22"/>
        </w:rPr>
        <w:footnoteReference w:id="4"/>
      </w:r>
      <w:r w:rsidRPr="00F635C4">
        <w:rPr>
          <w:rFonts w:ascii="Arial" w:eastAsia="Arial" w:hAnsi="Arial" w:cs="Arial"/>
          <w:bCs/>
          <w:sz w:val="22"/>
          <w:szCs w:val="22"/>
        </w:rPr>
        <w:t xml:space="preserve">. Además, se legitima la facultad de los concejos distritales para </w:t>
      </w:r>
      <w:r w:rsidR="00BD032B" w:rsidRPr="00F635C4">
        <w:rPr>
          <w:rFonts w:ascii="Arial" w:eastAsia="Arial" w:hAnsi="Arial" w:cs="Arial"/>
          <w:bCs/>
          <w:sz w:val="22"/>
          <w:szCs w:val="22"/>
        </w:rPr>
        <w:t>establecer</w:t>
      </w:r>
      <w:r w:rsidRPr="00F635C4">
        <w:rPr>
          <w:rFonts w:ascii="Arial" w:eastAsia="Arial" w:hAnsi="Arial" w:cs="Arial"/>
          <w:bCs/>
          <w:sz w:val="22"/>
          <w:szCs w:val="22"/>
        </w:rPr>
        <w:t xml:space="preserve"> y r</w:t>
      </w:r>
      <w:r w:rsidR="00BD032B" w:rsidRPr="00F635C4">
        <w:rPr>
          <w:rFonts w:ascii="Arial" w:eastAsia="Arial" w:hAnsi="Arial" w:cs="Arial"/>
          <w:bCs/>
          <w:sz w:val="22"/>
          <w:szCs w:val="22"/>
        </w:rPr>
        <w:t>egular</w:t>
      </w:r>
      <w:r w:rsidRPr="00F635C4">
        <w:rPr>
          <w:rFonts w:ascii="Arial" w:eastAsia="Arial" w:hAnsi="Arial" w:cs="Arial"/>
          <w:bCs/>
          <w:sz w:val="22"/>
          <w:szCs w:val="22"/>
        </w:rPr>
        <w:t xml:space="preserve"> contribuciones fiscales</w:t>
      </w:r>
      <w:r w:rsidR="007D10E3" w:rsidRPr="00F635C4">
        <w:rPr>
          <w:rStyle w:val="Refdenotaalpie"/>
          <w:rFonts w:ascii="Arial" w:eastAsia="Arial" w:hAnsi="Arial" w:cs="Arial"/>
          <w:bCs/>
          <w:sz w:val="22"/>
          <w:szCs w:val="22"/>
        </w:rPr>
        <w:footnoteReference w:id="5"/>
      </w:r>
      <w:r w:rsidRPr="00F635C4">
        <w:rPr>
          <w:rFonts w:ascii="Arial" w:eastAsia="Arial" w:hAnsi="Arial" w:cs="Arial"/>
          <w:bCs/>
          <w:sz w:val="22"/>
          <w:szCs w:val="22"/>
        </w:rPr>
        <w:t>.</w:t>
      </w:r>
    </w:p>
    <w:p w14:paraId="2917A51C" w14:textId="5ED26F36" w:rsidR="0018473E" w:rsidRPr="00F635C4" w:rsidRDefault="00015EA5">
      <w:pPr>
        <w:spacing w:after="160" w:line="259" w:lineRule="auto"/>
        <w:jc w:val="both"/>
        <w:rPr>
          <w:rFonts w:ascii="Arial" w:eastAsia="Arial" w:hAnsi="Arial" w:cs="Arial"/>
          <w:sz w:val="22"/>
          <w:szCs w:val="22"/>
        </w:rPr>
      </w:pPr>
      <w:r w:rsidRPr="00F635C4">
        <w:rPr>
          <w:rFonts w:ascii="Arial" w:eastAsia="Arial" w:hAnsi="Arial" w:cs="Arial"/>
          <w:b/>
          <w:sz w:val="22"/>
          <w:szCs w:val="22"/>
        </w:rPr>
        <w:t>5.</w:t>
      </w:r>
      <w:r w:rsidR="002572BE" w:rsidRPr="00F635C4">
        <w:rPr>
          <w:rFonts w:ascii="Arial" w:eastAsia="Arial" w:hAnsi="Arial" w:cs="Arial"/>
          <w:b/>
          <w:sz w:val="22"/>
          <w:szCs w:val="22"/>
        </w:rPr>
        <w:t>2</w:t>
      </w:r>
      <w:r w:rsidRPr="00F635C4">
        <w:rPr>
          <w:rFonts w:ascii="Arial" w:eastAsia="Arial" w:hAnsi="Arial" w:cs="Arial"/>
          <w:b/>
          <w:sz w:val="22"/>
          <w:szCs w:val="22"/>
        </w:rPr>
        <w:t xml:space="preserve"> Del orden legal:</w:t>
      </w:r>
    </w:p>
    <w:p w14:paraId="400B02A6" w14:textId="33766EFA" w:rsidR="00015EA5" w:rsidRPr="00F635C4" w:rsidRDefault="002572BE">
      <w:pPr>
        <w:pBdr>
          <w:top w:val="nil"/>
          <w:left w:val="nil"/>
          <w:bottom w:val="nil"/>
          <w:right w:val="nil"/>
          <w:between w:val="nil"/>
        </w:pBdr>
        <w:jc w:val="both"/>
        <w:rPr>
          <w:rFonts w:ascii="Arial" w:eastAsia="Arial" w:hAnsi="Arial" w:cs="Arial"/>
          <w:i/>
          <w:color w:val="000000"/>
          <w:sz w:val="22"/>
          <w:szCs w:val="22"/>
        </w:rPr>
      </w:pPr>
      <w:r w:rsidRPr="00F635C4">
        <w:rPr>
          <w:rFonts w:ascii="Arial" w:eastAsia="Arial" w:hAnsi="Arial" w:cs="Arial"/>
          <w:sz w:val="22"/>
          <w:szCs w:val="22"/>
        </w:rPr>
        <w:t>En el orden legal, la propuesta se sustenta en la normativa de desarrollo territorial y vivienda</w:t>
      </w:r>
      <w:r w:rsidR="007D10E3" w:rsidRPr="00F635C4">
        <w:rPr>
          <w:rStyle w:val="Refdenotaalpie"/>
          <w:rFonts w:ascii="Arial" w:eastAsia="Arial" w:hAnsi="Arial" w:cs="Arial"/>
          <w:sz w:val="22"/>
          <w:szCs w:val="22"/>
        </w:rPr>
        <w:footnoteReference w:id="6"/>
      </w:r>
      <w:r w:rsidRPr="00F635C4">
        <w:rPr>
          <w:rFonts w:ascii="Arial" w:eastAsia="Arial" w:hAnsi="Arial" w:cs="Arial"/>
          <w:sz w:val="22"/>
          <w:szCs w:val="22"/>
        </w:rPr>
        <w:t>, que faculta a los municipios para crear instrumentos de gestión del suelo, programas de renovación urbana e incentivos tributarios. También se citan las leyes que regulan el procedimiento tributario territorial</w:t>
      </w:r>
      <w:r w:rsidR="007D10E3" w:rsidRPr="00F635C4">
        <w:rPr>
          <w:rStyle w:val="Refdenotaalpie"/>
          <w:rFonts w:ascii="Arial" w:eastAsia="Arial" w:hAnsi="Arial" w:cs="Arial"/>
          <w:sz w:val="22"/>
          <w:szCs w:val="22"/>
        </w:rPr>
        <w:footnoteReference w:id="7"/>
      </w:r>
      <w:r w:rsidR="007D10E3" w:rsidRPr="00F635C4">
        <w:rPr>
          <w:rFonts w:ascii="Arial" w:eastAsia="Arial" w:hAnsi="Arial" w:cs="Arial"/>
          <w:sz w:val="22"/>
          <w:szCs w:val="22"/>
        </w:rPr>
        <w:t xml:space="preserve"> </w:t>
      </w:r>
      <w:r w:rsidRPr="00F635C4">
        <w:rPr>
          <w:rFonts w:ascii="Arial" w:eastAsia="Arial" w:hAnsi="Arial" w:cs="Arial"/>
          <w:sz w:val="22"/>
          <w:szCs w:val="22"/>
        </w:rPr>
        <w:t>y prohíben la delegación de la administración de tributos a terceros</w:t>
      </w:r>
      <w:r w:rsidR="007D10E3" w:rsidRPr="00F635C4">
        <w:rPr>
          <w:rStyle w:val="Refdenotaalpie"/>
          <w:rFonts w:ascii="Arial" w:eastAsia="Arial" w:hAnsi="Arial" w:cs="Arial"/>
          <w:sz w:val="22"/>
          <w:szCs w:val="22"/>
        </w:rPr>
        <w:footnoteReference w:id="8"/>
      </w:r>
      <w:r w:rsidRPr="00F635C4">
        <w:rPr>
          <w:rFonts w:ascii="Arial" w:eastAsia="Arial" w:hAnsi="Arial" w:cs="Arial"/>
          <w:sz w:val="22"/>
          <w:szCs w:val="22"/>
        </w:rPr>
        <w:t>, asegurando que los incentivos propuestos respeten el equilibrio fiscal y la legalidad administrativa.</w:t>
      </w:r>
    </w:p>
    <w:p w14:paraId="017183A8" w14:textId="77777777" w:rsidR="00447943" w:rsidRPr="00F635C4" w:rsidRDefault="00447943">
      <w:pPr>
        <w:pBdr>
          <w:top w:val="nil"/>
          <w:left w:val="nil"/>
          <w:bottom w:val="nil"/>
          <w:right w:val="nil"/>
          <w:between w:val="nil"/>
        </w:pBdr>
        <w:jc w:val="both"/>
        <w:rPr>
          <w:rFonts w:ascii="Arial" w:eastAsia="Arial" w:hAnsi="Arial" w:cs="Arial"/>
          <w:i/>
          <w:color w:val="000000"/>
          <w:sz w:val="22"/>
          <w:szCs w:val="22"/>
        </w:rPr>
      </w:pPr>
    </w:p>
    <w:p w14:paraId="4632AE4B" w14:textId="711CEE80" w:rsidR="00447943" w:rsidRPr="00F635C4" w:rsidRDefault="00015EA5">
      <w:pPr>
        <w:spacing w:after="160" w:line="259" w:lineRule="auto"/>
        <w:jc w:val="both"/>
        <w:rPr>
          <w:rFonts w:ascii="Arial" w:eastAsia="Arial" w:hAnsi="Arial" w:cs="Arial"/>
          <w:b/>
          <w:sz w:val="22"/>
          <w:szCs w:val="22"/>
        </w:rPr>
      </w:pPr>
      <w:r w:rsidRPr="00F635C4">
        <w:rPr>
          <w:rFonts w:ascii="Arial" w:eastAsia="Arial" w:hAnsi="Arial" w:cs="Arial"/>
          <w:b/>
          <w:sz w:val="22"/>
          <w:szCs w:val="22"/>
        </w:rPr>
        <w:t>5.4 Del orden Distrital</w:t>
      </w:r>
    </w:p>
    <w:p w14:paraId="3B2875C6" w14:textId="06E7E426" w:rsidR="003D5EE4" w:rsidRPr="00F635C4" w:rsidRDefault="003D5EE4" w:rsidP="003D5EE4">
      <w:pPr>
        <w:spacing w:after="160" w:line="259" w:lineRule="auto"/>
        <w:jc w:val="both"/>
        <w:rPr>
          <w:rFonts w:ascii="Arial" w:eastAsia="Arial" w:hAnsi="Arial" w:cs="Arial"/>
          <w:bCs/>
          <w:sz w:val="22"/>
          <w:szCs w:val="22"/>
          <w:highlight w:val="white"/>
        </w:rPr>
      </w:pPr>
      <w:r w:rsidRPr="00F635C4">
        <w:rPr>
          <w:rFonts w:ascii="Arial" w:eastAsia="Arial" w:hAnsi="Arial" w:cs="Arial"/>
          <w:bCs/>
          <w:sz w:val="22"/>
          <w:szCs w:val="22"/>
          <w:highlight w:val="white"/>
        </w:rPr>
        <w:t xml:space="preserve">En el marco de la planeación estratégica de la ciudad, el proyecto se alinea con el Acuerdo 927 de 2024 - </w:t>
      </w:r>
      <w:r w:rsidRPr="00F635C4">
        <w:rPr>
          <w:rFonts w:ascii="Arial" w:eastAsia="Arial" w:hAnsi="Arial" w:cs="Arial"/>
          <w:b/>
          <w:sz w:val="22"/>
          <w:szCs w:val="22"/>
          <w:highlight w:val="white"/>
        </w:rPr>
        <w:t>Plan Distrital de Desarrollo "Bogotá Camina Segura",</w:t>
      </w:r>
      <w:r w:rsidRPr="00F635C4">
        <w:rPr>
          <w:rFonts w:ascii="Arial" w:eastAsia="Arial" w:hAnsi="Arial" w:cs="Arial"/>
          <w:bCs/>
          <w:sz w:val="22"/>
          <w:szCs w:val="22"/>
          <w:highlight w:val="white"/>
        </w:rPr>
        <w:t xml:space="preserve"> específicamente con el Programa 19. </w:t>
      </w:r>
      <w:r w:rsidRPr="00F635C4">
        <w:rPr>
          <w:rFonts w:ascii="Arial" w:eastAsia="Arial" w:hAnsi="Arial" w:cs="Arial"/>
          <w:b/>
          <w:sz w:val="22"/>
          <w:szCs w:val="22"/>
          <w:highlight w:val="white"/>
        </w:rPr>
        <w:t>Desarrollo empresarial, productividad y empleo</w:t>
      </w:r>
      <w:r w:rsidRPr="00F635C4">
        <w:rPr>
          <w:rFonts w:ascii="Arial" w:eastAsia="Arial" w:hAnsi="Arial" w:cs="Arial"/>
          <w:bCs/>
          <w:sz w:val="22"/>
          <w:szCs w:val="22"/>
          <w:highlight w:val="white"/>
        </w:rPr>
        <w:t xml:space="preserve">, el cual busca posicionar a Bogotá como destino de inversión, fortalecer el tejido empresarial y potenciar sectores clave como el turismo y los servicios. Asimismo, se vincula al Programa 33. </w:t>
      </w:r>
      <w:r w:rsidRPr="00F635C4">
        <w:rPr>
          <w:rFonts w:ascii="Arial" w:eastAsia="Arial" w:hAnsi="Arial" w:cs="Arial"/>
          <w:b/>
          <w:sz w:val="22"/>
          <w:szCs w:val="22"/>
          <w:highlight w:val="white"/>
        </w:rPr>
        <w:t xml:space="preserve">Fortalecimiento institucional para un Gobierno confiable, </w:t>
      </w:r>
      <w:r w:rsidRPr="00F635C4">
        <w:rPr>
          <w:rFonts w:ascii="Arial" w:eastAsia="Arial" w:hAnsi="Arial" w:cs="Arial"/>
          <w:bCs/>
          <w:sz w:val="22"/>
          <w:szCs w:val="22"/>
          <w:highlight w:val="white"/>
        </w:rPr>
        <w:t>enfocado en mejorar las capacidades de las entidades distritales para responder a las necesidades ciudadanas. Este Acuerdo también habilita la creación de incentivos para la vivienda formal</w:t>
      </w:r>
      <w:r w:rsidR="007D10E3" w:rsidRPr="00F635C4">
        <w:rPr>
          <w:rStyle w:val="Refdenotaalpie"/>
          <w:rFonts w:ascii="Arial" w:eastAsia="Arial" w:hAnsi="Arial" w:cs="Arial"/>
          <w:bCs/>
          <w:sz w:val="22"/>
          <w:szCs w:val="22"/>
          <w:highlight w:val="white"/>
        </w:rPr>
        <w:footnoteReference w:id="9"/>
      </w:r>
      <w:r w:rsidRPr="00F635C4">
        <w:rPr>
          <w:rFonts w:ascii="Arial" w:eastAsia="Arial" w:hAnsi="Arial" w:cs="Arial"/>
          <w:bCs/>
          <w:sz w:val="22"/>
          <w:szCs w:val="22"/>
          <w:highlight w:val="white"/>
        </w:rPr>
        <w:t>, promueve proyectos de arrendamiento especializado</w:t>
      </w:r>
      <w:r w:rsidR="007D10E3" w:rsidRPr="00F635C4">
        <w:rPr>
          <w:rStyle w:val="Refdenotaalpie"/>
          <w:rFonts w:ascii="Arial" w:eastAsia="Arial" w:hAnsi="Arial" w:cs="Arial"/>
          <w:bCs/>
          <w:sz w:val="22"/>
          <w:szCs w:val="22"/>
          <w:highlight w:val="white"/>
        </w:rPr>
        <w:footnoteReference w:id="10"/>
      </w:r>
      <w:r w:rsidRPr="00F635C4">
        <w:rPr>
          <w:rFonts w:ascii="Arial" w:eastAsia="Arial" w:hAnsi="Arial" w:cs="Arial"/>
          <w:bCs/>
          <w:sz w:val="22"/>
          <w:szCs w:val="22"/>
          <w:highlight w:val="white"/>
        </w:rPr>
        <w:t xml:space="preserve"> y establece una Comisión de Expertos para revisar la optimización del recaudo tributario</w:t>
      </w:r>
      <w:r w:rsidR="007D10E3" w:rsidRPr="00F635C4">
        <w:rPr>
          <w:rStyle w:val="Refdenotaalpie"/>
          <w:rFonts w:ascii="Arial" w:eastAsia="Arial" w:hAnsi="Arial" w:cs="Arial"/>
          <w:bCs/>
          <w:sz w:val="22"/>
          <w:szCs w:val="22"/>
          <w:highlight w:val="white"/>
        </w:rPr>
        <w:footnoteReference w:id="11"/>
      </w:r>
      <w:r w:rsidRPr="00F635C4">
        <w:rPr>
          <w:rFonts w:ascii="Arial" w:eastAsia="Arial" w:hAnsi="Arial" w:cs="Arial"/>
          <w:bCs/>
          <w:sz w:val="22"/>
          <w:szCs w:val="22"/>
          <w:highlight w:val="white"/>
        </w:rPr>
        <w:t>.</w:t>
      </w:r>
    </w:p>
    <w:p w14:paraId="1A3B0918" w14:textId="4DDB1C23" w:rsidR="003D5EE4" w:rsidRPr="00F635C4" w:rsidRDefault="003D5EE4" w:rsidP="003D5EE4">
      <w:pPr>
        <w:spacing w:after="160" w:line="259" w:lineRule="auto"/>
        <w:jc w:val="both"/>
        <w:rPr>
          <w:rFonts w:ascii="Arial" w:eastAsia="Arial" w:hAnsi="Arial" w:cs="Arial"/>
          <w:bCs/>
          <w:sz w:val="22"/>
          <w:szCs w:val="22"/>
          <w:highlight w:val="white"/>
        </w:rPr>
      </w:pPr>
      <w:r w:rsidRPr="00F635C4">
        <w:rPr>
          <w:rFonts w:ascii="Arial" w:eastAsia="Arial" w:hAnsi="Arial" w:cs="Arial"/>
          <w:bCs/>
          <w:sz w:val="22"/>
          <w:szCs w:val="22"/>
          <w:highlight w:val="white"/>
        </w:rPr>
        <w:t>En materia fiscal, la iniciativa respeta el marco regulatorio definido por el Decreto Distrital 807 de 1993 "Por el cual se armonizan el procedimiento y la administración de los tributos distritales con el Estatuto Tributario Nacional y se dictan otras disposiciones", así como el Decreto Distrital 352 de 2002 "Por el cual se compila y actualiza la normativa sustantiva tributaria vigente, incluyendo las modificaciones generadas por la aplicación de nuevas normas nacionales que se deban aplicar a los tributos del Distrito Capital, y las generadas por acuerdos del orden distrital". Estas normas ratifican la competencia del Concejo Distrital para imponer, reformar o eliminar tributos, reafirmando el deber ciudadano de contribuir al financiamiento de la ciudad.</w:t>
      </w:r>
    </w:p>
    <w:p w14:paraId="65D8A13A" w14:textId="0221BFDA" w:rsidR="003D5EE4" w:rsidRPr="00F635C4" w:rsidRDefault="003D5EE4" w:rsidP="003D5EE4">
      <w:pPr>
        <w:spacing w:after="160" w:line="259" w:lineRule="auto"/>
        <w:jc w:val="both"/>
        <w:rPr>
          <w:rFonts w:ascii="Arial" w:eastAsia="Arial" w:hAnsi="Arial" w:cs="Arial"/>
          <w:bCs/>
          <w:sz w:val="22"/>
          <w:szCs w:val="22"/>
          <w:highlight w:val="white"/>
        </w:rPr>
      </w:pPr>
      <w:r w:rsidRPr="00F635C4">
        <w:rPr>
          <w:rFonts w:ascii="Arial" w:eastAsia="Arial" w:hAnsi="Arial" w:cs="Arial"/>
          <w:bCs/>
          <w:sz w:val="22"/>
          <w:szCs w:val="22"/>
          <w:highlight w:val="white"/>
        </w:rPr>
        <w:t xml:space="preserve">Finalmente, en cuanto al ordenamiento territorial y la protección social, la propuesta se armoniza con el Decreto 555 de 2021 "Por el cual se adopta la revisión general del Plan de Ordenamiento Territorial de Bogotá D.C.". Este decreto regula la renovación urbana bajo la modalidad de revitalización, priorizando la permanencia de los habitantes originales mediante incentivos específicos (como la conservación del estrato y límites al crecimiento del impuesto predial). </w:t>
      </w:r>
      <w:r w:rsidRPr="00F635C4">
        <w:rPr>
          <w:rFonts w:ascii="Arial" w:eastAsia="Arial" w:hAnsi="Arial" w:cs="Arial"/>
          <w:bCs/>
          <w:sz w:val="22"/>
          <w:szCs w:val="22"/>
        </w:rPr>
        <w:t xml:space="preserve">Dicha protección se complementa con </w:t>
      </w:r>
      <w:r w:rsidR="00E67DFE" w:rsidRPr="00F635C4">
        <w:rPr>
          <w:rFonts w:ascii="Arial" w:eastAsia="Arial" w:hAnsi="Arial" w:cs="Arial"/>
          <w:bCs/>
          <w:sz w:val="22"/>
          <w:szCs w:val="22"/>
        </w:rPr>
        <w:t>el</w:t>
      </w:r>
      <w:r w:rsidRPr="00F635C4">
        <w:rPr>
          <w:rFonts w:ascii="Arial" w:eastAsia="Arial" w:hAnsi="Arial" w:cs="Arial"/>
          <w:bCs/>
          <w:sz w:val="22"/>
          <w:szCs w:val="22"/>
        </w:rPr>
        <w:t xml:space="preserve"> Decreto Distrital 5</w:t>
      </w:r>
      <w:r w:rsidR="00F635C4" w:rsidRPr="00F635C4">
        <w:rPr>
          <w:rFonts w:ascii="Arial" w:eastAsia="Arial" w:hAnsi="Arial" w:cs="Arial"/>
          <w:bCs/>
          <w:sz w:val="22"/>
          <w:szCs w:val="22"/>
        </w:rPr>
        <w:t>63</w:t>
      </w:r>
      <w:r w:rsidRPr="00F635C4">
        <w:rPr>
          <w:rFonts w:ascii="Arial" w:eastAsia="Arial" w:hAnsi="Arial" w:cs="Arial"/>
          <w:bCs/>
          <w:sz w:val="22"/>
          <w:szCs w:val="22"/>
        </w:rPr>
        <w:t xml:space="preserve"> de 202</w:t>
      </w:r>
      <w:r w:rsidR="00F635C4" w:rsidRPr="00F635C4">
        <w:rPr>
          <w:rFonts w:ascii="Arial" w:eastAsia="Arial" w:hAnsi="Arial" w:cs="Arial"/>
          <w:bCs/>
          <w:sz w:val="22"/>
          <w:szCs w:val="22"/>
        </w:rPr>
        <w:t>3</w:t>
      </w:r>
      <w:r w:rsidRPr="00F635C4">
        <w:rPr>
          <w:rFonts w:ascii="Arial" w:eastAsia="Arial" w:hAnsi="Arial" w:cs="Arial"/>
          <w:bCs/>
          <w:sz w:val="22"/>
          <w:szCs w:val="22"/>
        </w:rPr>
        <w:t xml:space="preserve"> "Por medio del cual se reglamenta la protección a moradores y actividades productivas en el Distrito Capital y se dictan otras disposiciones", que establece los procedimientos para garantizar los derechos de los propietarios y residentes frente a los desarrollos urbanísticos.</w:t>
      </w:r>
    </w:p>
    <w:p w14:paraId="51820A41" w14:textId="77777777" w:rsidR="00FC1BAD" w:rsidRPr="00F635C4" w:rsidRDefault="00FC1BAD">
      <w:pPr>
        <w:spacing w:after="160" w:line="259" w:lineRule="auto"/>
        <w:jc w:val="center"/>
        <w:rPr>
          <w:rFonts w:ascii="Arial" w:eastAsia="Arial" w:hAnsi="Arial" w:cs="Arial"/>
          <w:b/>
          <w:sz w:val="22"/>
          <w:szCs w:val="22"/>
        </w:rPr>
      </w:pPr>
    </w:p>
    <w:p w14:paraId="4A262F63" w14:textId="35F4C0C8" w:rsidR="00DD085E" w:rsidRPr="00F635C4" w:rsidRDefault="00015EA5" w:rsidP="00DD085E">
      <w:pPr>
        <w:spacing w:after="160" w:line="259" w:lineRule="auto"/>
        <w:jc w:val="center"/>
        <w:rPr>
          <w:rFonts w:ascii="Arial" w:eastAsia="Arial" w:hAnsi="Arial" w:cs="Arial"/>
          <w:b/>
          <w:sz w:val="22"/>
          <w:szCs w:val="22"/>
        </w:rPr>
      </w:pPr>
      <w:r w:rsidRPr="00F635C4">
        <w:rPr>
          <w:rFonts w:ascii="Arial" w:eastAsia="Arial" w:hAnsi="Arial" w:cs="Arial"/>
          <w:b/>
          <w:sz w:val="22"/>
          <w:szCs w:val="22"/>
        </w:rPr>
        <w:t xml:space="preserve">6. </w:t>
      </w:r>
      <w:r w:rsidR="00DD085E" w:rsidRPr="00F635C4">
        <w:rPr>
          <w:rFonts w:ascii="Arial" w:eastAsia="Arial" w:hAnsi="Arial" w:cs="Arial"/>
          <w:b/>
          <w:sz w:val="22"/>
          <w:szCs w:val="22"/>
        </w:rPr>
        <w:t xml:space="preserve"> ANÁLISIS DE </w:t>
      </w:r>
      <w:r w:rsidRPr="00F635C4">
        <w:rPr>
          <w:rFonts w:ascii="Arial" w:eastAsia="Arial" w:hAnsi="Arial" w:cs="Arial"/>
          <w:b/>
          <w:sz w:val="22"/>
          <w:szCs w:val="22"/>
        </w:rPr>
        <w:t>COMPETENCIA</w:t>
      </w:r>
      <w:r w:rsidR="00DD085E" w:rsidRPr="00F635C4">
        <w:rPr>
          <w:rFonts w:ascii="Arial" w:eastAsia="Arial" w:hAnsi="Arial" w:cs="Arial"/>
          <w:b/>
          <w:sz w:val="22"/>
          <w:szCs w:val="22"/>
        </w:rPr>
        <w:t xml:space="preserve"> ELABORADO POR LA AUTORA</w:t>
      </w:r>
    </w:p>
    <w:p w14:paraId="1C017CD3" w14:textId="1128DA2B" w:rsidR="00DD085E" w:rsidRPr="00F635C4" w:rsidRDefault="005310DD" w:rsidP="00500539">
      <w:pPr>
        <w:shd w:val="clear" w:color="auto" w:fill="FFFFFF"/>
        <w:spacing w:line="276" w:lineRule="auto"/>
        <w:jc w:val="both"/>
        <w:rPr>
          <w:rFonts w:ascii="Arial" w:eastAsia="Arial" w:hAnsi="Arial" w:cs="Arial"/>
          <w:sz w:val="22"/>
          <w:szCs w:val="22"/>
        </w:rPr>
      </w:pPr>
      <w:r w:rsidRPr="00F635C4">
        <w:rPr>
          <w:rFonts w:ascii="Arial" w:eastAsia="Arial" w:hAnsi="Arial" w:cs="Arial"/>
          <w:sz w:val="22"/>
          <w:szCs w:val="22"/>
        </w:rPr>
        <w:t>La autora concluye que el Concejo de Bogotá sí cuenta con competencia para debatir, estudiar y aprobar normas sobre la materia de este Proyecto de Acuerdo, con fundamento en el artículo 313 de la Constitución Política y en el artículo 12 del Decreto Ley 1421 de 1993, que le atribuye</w:t>
      </w:r>
      <w:r w:rsidR="00BE1EB9" w:rsidRPr="00F635C4">
        <w:rPr>
          <w:rFonts w:ascii="Arial" w:eastAsia="Arial" w:hAnsi="Arial" w:cs="Arial"/>
          <w:sz w:val="22"/>
          <w:szCs w:val="22"/>
        </w:rPr>
        <w:t>n</w:t>
      </w:r>
      <w:r w:rsidRPr="00F635C4">
        <w:rPr>
          <w:rFonts w:ascii="Arial" w:eastAsia="Arial" w:hAnsi="Arial" w:cs="Arial"/>
          <w:sz w:val="22"/>
          <w:szCs w:val="22"/>
        </w:rPr>
        <w:t>, entre otras funciones, dictar las normas necesarias para garantizar el adecuado cumplimiento de las funciones distritales, promover y estimular la industria de la construcción, en especial la de vivienda, fijar procedimientos de control al uso del suelo y ejercer las demás funciones que le asignen las disposiciones vigentes. En la misma línea, cita el Acuerdo 741 de 2019, Reglamento Interno del Concejo, que define a la Corporación como la suprema autoridad político-administrativa del Distrito y precisa que ejerce sus atribuciones conforme a la Constitución, el Estatuto Orgánico, las leyes especiales y, de manera supletoria, las normas aplicables a las asambleas departamentales y municipios.</w:t>
      </w:r>
    </w:p>
    <w:p w14:paraId="46CD99F7" w14:textId="77777777" w:rsidR="00447943" w:rsidRPr="00F635C4" w:rsidRDefault="00447943" w:rsidP="003D5EE4">
      <w:pPr>
        <w:jc w:val="both"/>
        <w:rPr>
          <w:rFonts w:ascii="Arial" w:eastAsia="Arial" w:hAnsi="Arial" w:cs="Arial"/>
          <w:b/>
          <w:sz w:val="22"/>
          <w:szCs w:val="22"/>
          <w:highlight w:val="white"/>
        </w:rPr>
      </w:pPr>
    </w:p>
    <w:p w14:paraId="4DCCCA57" w14:textId="10040BC3" w:rsidR="00DD085E" w:rsidRPr="00F635C4" w:rsidRDefault="00DD085E" w:rsidP="00DD085E">
      <w:pPr>
        <w:jc w:val="center"/>
        <w:rPr>
          <w:rFonts w:ascii="Arial" w:eastAsia="Arial" w:hAnsi="Arial" w:cs="Arial"/>
          <w:b/>
          <w:sz w:val="22"/>
          <w:szCs w:val="22"/>
          <w:highlight w:val="white"/>
        </w:rPr>
      </w:pPr>
      <w:r w:rsidRPr="00F635C4">
        <w:rPr>
          <w:rFonts w:ascii="Arial" w:eastAsia="Arial" w:hAnsi="Arial" w:cs="Arial"/>
          <w:b/>
          <w:sz w:val="22"/>
          <w:szCs w:val="22"/>
          <w:highlight w:val="white"/>
        </w:rPr>
        <w:t>8</w:t>
      </w:r>
      <w:r w:rsidR="00015EA5" w:rsidRPr="00F635C4">
        <w:rPr>
          <w:rFonts w:ascii="Arial" w:eastAsia="Arial" w:hAnsi="Arial" w:cs="Arial"/>
          <w:b/>
          <w:sz w:val="22"/>
          <w:szCs w:val="22"/>
          <w:highlight w:val="white"/>
        </w:rPr>
        <w:t>.</w:t>
      </w:r>
      <w:r w:rsidR="00C4716A" w:rsidRPr="00F635C4">
        <w:rPr>
          <w:rFonts w:ascii="Arial" w:eastAsia="Arial" w:hAnsi="Arial" w:cs="Arial"/>
          <w:b/>
          <w:sz w:val="22"/>
          <w:szCs w:val="22"/>
          <w:highlight w:val="white"/>
        </w:rPr>
        <w:t xml:space="preserve"> ANÁLISIS DE</w:t>
      </w:r>
      <w:r w:rsidR="00015EA5" w:rsidRPr="00F635C4">
        <w:rPr>
          <w:rFonts w:ascii="Arial" w:eastAsia="Arial" w:hAnsi="Arial" w:cs="Arial"/>
          <w:b/>
          <w:sz w:val="22"/>
          <w:szCs w:val="22"/>
          <w:highlight w:val="white"/>
        </w:rPr>
        <w:t xml:space="preserve"> IMPACTO FISCAL</w:t>
      </w:r>
      <w:r w:rsidR="00C4716A" w:rsidRPr="00F635C4">
        <w:rPr>
          <w:rFonts w:ascii="Arial" w:eastAsia="Arial" w:hAnsi="Arial" w:cs="Arial"/>
          <w:b/>
          <w:sz w:val="22"/>
          <w:szCs w:val="22"/>
          <w:highlight w:val="white"/>
        </w:rPr>
        <w:t xml:space="preserve"> ELABORADO POR LA AUTORA </w:t>
      </w:r>
    </w:p>
    <w:p w14:paraId="3D8DBCAD" w14:textId="018C0B7F" w:rsidR="0080135C" w:rsidRPr="00F635C4" w:rsidRDefault="0080135C">
      <w:pPr>
        <w:jc w:val="center"/>
        <w:rPr>
          <w:rFonts w:ascii="Arial" w:eastAsia="Arial" w:hAnsi="Arial" w:cs="Arial"/>
          <w:b/>
          <w:sz w:val="22"/>
          <w:szCs w:val="22"/>
          <w:highlight w:val="white"/>
        </w:rPr>
      </w:pPr>
    </w:p>
    <w:p w14:paraId="74A1C806" w14:textId="0B04D739" w:rsidR="0080135C" w:rsidRPr="00F635C4" w:rsidRDefault="0080135C" w:rsidP="00BD032B">
      <w:pPr>
        <w:jc w:val="both"/>
        <w:rPr>
          <w:rFonts w:ascii="Arial" w:eastAsia="Arial" w:hAnsi="Arial" w:cs="Arial"/>
          <w:bCs/>
          <w:sz w:val="22"/>
          <w:szCs w:val="22"/>
        </w:rPr>
      </w:pPr>
      <w:r w:rsidRPr="00F635C4">
        <w:rPr>
          <w:rFonts w:ascii="Arial" w:eastAsia="Arial" w:hAnsi="Arial" w:cs="Arial"/>
          <w:bCs/>
          <w:sz w:val="22"/>
          <w:szCs w:val="22"/>
          <w:highlight w:val="white"/>
        </w:rPr>
        <w:t xml:space="preserve">Para la autora, </w:t>
      </w:r>
      <w:r w:rsidRPr="00F635C4">
        <w:rPr>
          <w:rFonts w:ascii="Arial" w:eastAsia="Arial" w:hAnsi="Arial" w:cs="Arial"/>
          <w:bCs/>
          <w:sz w:val="22"/>
          <w:szCs w:val="22"/>
        </w:rPr>
        <w:t>la propuesta normativa cumple con el artículo 7 de la Ley 819 de 2003 sin generar un impacto fiscal adicional, dado que no requiere nuevos recursos ni modifica el presupuesto o el Plan Operativo Anual de Inversiones. Se concluye que la iniciativa es financieramente viable al alinearse con los instrumentos de planeación vigentes, como el Plan de Ordenamiento Territorial y el Plan Distrital de Desarrollo "Bogotá Camina Segura", por lo que su ejecución se sustenta con los fondos ya aprobados.</w:t>
      </w:r>
    </w:p>
    <w:p w14:paraId="53C160D3" w14:textId="3CAC648E" w:rsidR="003D5EE4" w:rsidRPr="00F635C4" w:rsidRDefault="003D5EE4" w:rsidP="00BD032B">
      <w:pPr>
        <w:jc w:val="both"/>
        <w:rPr>
          <w:rFonts w:ascii="Arial" w:eastAsia="Arial" w:hAnsi="Arial" w:cs="Arial"/>
          <w:bCs/>
          <w:sz w:val="22"/>
          <w:szCs w:val="22"/>
        </w:rPr>
      </w:pPr>
    </w:p>
    <w:p w14:paraId="3C9A76A0" w14:textId="23E7329E" w:rsidR="003D5EE4" w:rsidRPr="00F635C4" w:rsidRDefault="003D5EE4" w:rsidP="00BD032B">
      <w:pPr>
        <w:jc w:val="both"/>
        <w:rPr>
          <w:rFonts w:ascii="Arial" w:eastAsia="Arial" w:hAnsi="Arial" w:cs="Arial"/>
          <w:bCs/>
          <w:sz w:val="22"/>
          <w:szCs w:val="22"/>
        </w:rPr>
      </w:pPr>
      <w:r w:rsidRPr="00F635C4">
        <w:rPr>
          <w:rFonts w:ascii="Arial" w:eastAsia="Arial" w:hAnsi="Arial" w:cs="Arial"/>
          <w:bCs/>
          <w:sz w:val="22"/>
          <w:szCs w:val="22"/>
        </w:rPr>
        <w:t>De igual manera, argumenta que, a pesar de reducir el recaudo, a largo plazo, la multiplicación de la vivienda generaría más recaudo del que se dejaría de percibir y que la inyección de capital en la economía sería un beneficio aún mayor.</w:t>
      </w:r>
    </w:p>
    <w:p w14:paraId="42F6E139" w14:textId="142B2AEA" w:rsidR="0080135C" w:rsidRPr="00F635C4" w:rsidRDefault="0080135C" w:rsidP="00BD032B">
      <w:pPr>
        <w:jc w:val="both"/>
        <w:rPr>
          <w:rFonts w:ascii="Arial" w:eastAsia="Arial" w:hAnsi="Arial" w:cs="Arial"/>
          <w:bCs/>
          <w:sz w:val="22"/>
          <w:szCs w:val="22"/>
        </w:rPr>
      </w:pPr>
    </w:p>
    <w:p w14:paraId="571A195D" w14:textId="31BB78CE" w:rsidR="0080135C" w:rsidRPr="00F635C4" w:rsidRDefault="0080135C" w:rsidP="00BD032B">
      <w:pPr>
        <w:jc w:val="both"/>
        <w:rPr>
          <w:rFonts w:ascii="Arial" w:eastAsia="Arial" w:hAnsi="Arial" w:cs="Arial"/>
          <w:bCs/>
          <w:sz w:val="22"/>
          <w:szCs w:val="22"/>
          <w:highlight w:val="white"/>
        </w:rPr>
      </w:pPr>
      <w:r w:rsidRPr="00F635C4">
        <w:rPr>
          <w:rFonts w:ascii="Arial" w:eastAsia="Arial" w:hAnsi="Arial" w:cs="Arial"/>
          <w:bCs/>
          <w:sz w:val="22"/>
          <w:szCs w:val="22"/>
        </w:rPr>
        <w:t>A pesar de no requerir presupuesto extra, se solicita el concepto técnico de factibilidad a la Secretaría Distrital de Hacienda y a la Comisión de Expertos Tributarios para cumplir con el trámite normativo. Asimismo, se cita la Sentencia C-911 de 2007 de la Corte Constitucional para enfatizar que la exigencia del análisis fiscal busca asegurar la responsabilidad económica, pero en ningún caso debe convertirse en un poder de veto o una barrera insalvable que impida a las corporaciones ejercer su función legislativa.</w:t>
      </w:r>
    </w:p>
    <w:p w14:paraId="78F9D353" w14:textId="40E662AF" w:rsidR="008C3D7F" w:rsidRPr="00F635C4" w:rsidRDefault="00DD085E" w:rsidP="008C3D7F">
      <w:pPr>
        <w:pBdr>
          <w:top w:val="nil"/>
          <w:left w:val="nil"/>
          <w:bottom w:val="nil"/>
          <w:right w:val="nil"/>
          <w:between w:val="nil"/>
        </w:pBdr>
        <w:spacing w:before="240" w:after="240" w:line="276" w:lineRule="auto"/>
        <w:ind w:left="426"/>
        <w:jc w:val="center"/>
        <w:rPr>
          <w:rFonts w:ascii="Arial" w:eastAsia="Arial" w:hAnsi="Arial" w:cs="Arial"/>
          <w:b/>
          <w:bCs/>
          <w:iCs/>
          <w:color w:val="000000"/>
          <w:sz w:val="22"/>
          <w:szCs w:val="22"/>
        </w:rPr>
      </w:pPr>
      <w:r w:rsidRPr="00F635C4">
        <w:rPr>
          <w:rFonts w:ascii="Arial" w:eastAsia="Arial" w:hAnsi="Arial" w:cs="Arial"/>
          <w:b/>
          <w:bCs/>
          <w:iCs/>
          <w:color w:val="000000"/>
          <w:sz w:val="22"/>
          <w:szCs w:val="22"/>
        </w:rPr>
        <w:t>9</w:t>
      </w:r>
      <w:r w:rsidR="008C3D7F" w:rsidRPr="00F635C4">
        <w:rPr>
          <w:rFonts w:ascii="Arial" w:eastAsia="Arial" w:hAnsi="Arial" w:cs="Arial"/>
          <w:b/>
          <w:bCs/>
          <w:iCs/>
          <w:color w:val="000000"/>
          <w:sz w:val="22"/>
          <w:szCs w:val="22"/>
        </w:rPr>
        <w:t>. ANÁLISIS Y CONSIDERACIONES DE LA PONENCIA</w:t>
      </w:r>
    </w:p>
    <w:p w14:paraId="0D3FDB61" w14:textId="77777777" w:rsidR="00325251" w:rsidRPr="00F635C4" w:rsidRDefault="00F00517" w:rsidP="003D5EE4">
      <w:pPr>
        <w:pBdr>
          <w:top w:val="nil"/>
          <w:left w:val="nil"/>
          <w:bottom w:val="nil"/>
          <w:right w:val="nil"/>
          <w:between w:val="nil"/>
        </w:pBdr>
        <w:spacing w:before="240" w:after="240" w:line="276" w:lineRule="auto"/>
        <w:jc w:val="both"/>
        <w:rPr>
          <w:rFonts w:ascii="Arial" w:eastAsia="Arial" w:hAnsi="Arial" w:cs="Arial"/>
          <w:iCs/>
          <w:color w:val="000000"/>
          <w:sz w:val="22"/>
          <w:szCs w:val="22"/>
        </w:rPr>
      </w:pPr>
      <w:r w:rsidRPr="00F635C4">
        <w:rPr>
          <w:rFonts w:ascii="Arial" w:eastAsia="Arial" w:hAnsi="Arial" w:cs="Arial"/>
          <w:iCs/>
          <w:color w:val="000000"/>
          <w:sz w:val="22"/>
          <w:szCs w:val="22"/>
        </w:rPr>
        <w:t xml:space="preserve">La renovación urbana hoy en día, es uno de los instrumentos más relevantes para orientar el desarrollo de Bogotá hacia un modelo de ciudad más equitativa, compacta y sostenible. </w:t>
      </w:r>
    </w:p>
    <w:p w14:paraId="22E46807" w14:textId="6CA470BA" w:rsidR="008C3D7F" w:rsidRPr="00F635C4" w:rsidRDefault="00F00517" w:rsidP="003D5EE4">
      <w:pPr>
        <w:pBdr>
          <w:top w:val="nil"/>
          <w:left w:val="nil"/>
          <w:bottom w:val="nil"/>
          <w:right w:val="nil"/>
          <w:between w:val="nil"/>
        </w:pBdr>
        <w:spacing w:before="240" w:after="240" w:line="276" w:lineRule="auto"/>
        <w:jc w:val="both"/>
        <w:rPr>
          <w:rFonts w:ascii="Arial" w:eastAsia="Arial" w:hAnsi="Arial" w:cs="Arial"/>
          <w:iCs/>
          <w:color w:val="000000"/>
          <w:sz w:val="22"/>
          <w:szCs w:val="22"/>
        </w:rPr>
      </w:pPr>
      <w:r w:rsidRPr="00F635C4">
        <w:rPr>
          <w:rFonts w:ascii="Arial" w:eastAsia="Arial" w:hAnsi="Arial" w:cs="Arial"/>
          <w:iCs/>
          <w:color w:val="000000"/>
          <w:sz w:val="22"/>
          <w:szCs w:val="22"/>
        </w:rPr>
        <w:t>En un contexto en que las necesidades de vivienda urbana seguirán en ascenso, apostar por iniciativas</w:t>
      </w:r>
      <w:r w:rsidR="00A469B2" w:rsidRPr="00F635C4">
        <w:rPr>
          <w:rFonts w:ascii="Arial" w:eastAsia="Arial" w:hAnsi="Arial" w:cs="Arial"/>
          <w:iCs/>
          <w:color w:val="000000"/>
          <w:sz w:val="22"/>
          <w:szCs w:val="22"/>
        </w:rPr>
        <w:t xml:space="preserve"> que buscan</w:t>
      </w:r>
      <w:r w:rsidR="00325251" w:rsidRPr="00F635C4">
        <w:rPr>
          <w:rFonts w:ascii="Arial" w:eastAsia="Arial" w:hAnsi="Arial" w:cs="Arial"/>
          <w:iCs/>
          <w:color w:val="000000"/>
          <w:sz w:val="22"/>
          <w:szCs w:val="22"/>
        </w:rPr>
        <w:t xml:space="preserve"> atraer inversiones</w:t>
      </w:r>
      <w:r w:rsidR="00A469B2" w:rsidRPr="00F635C4">
        <w:rPr>
          <w:rFonts w:ascii="Arial" w:eastAsia="Arial" w:hAnsi="Arial" w:cs="Arial"/>
          <w:iCs/>
          <w:color w:val="000000"/>
          <w:sz w:val="22"/>
          <w:szCs w:val="22"/>
        </w:rPr>
        <w:t xml:space="preserve"> </w:t>
      </w:r>
      <w:r w:rsidR="00325251" w:rsidRPr="00F635C4">
        <w:rPr>
          <w:rFonts w:ascii="Arial" w:eastAsia="Arial" w:hAnsi="Arial" w:cs="Arial"/>
          <w:iCs/>
          <w:color w:val="000000"/>
          <w:sz w:val="22"/>
          <w:szCs w:val="22"/>
        </w:rPr>
        <w:t>hacia el desarrollo de la vivienda inclusiva</w:t>
      </w:r>
      <w:r w:rsidR="00A469B2" w:rsidRPr="00F635C4">
        <w:rPr>
          <w:rFonts w:ascii="Arial" w:eastAsia="Arial" w:hAnsi="Arial" w:cs="Arial"/>
          <w:iCs/>
          <w:color w:val="000000"/>
          <w:sz w:val="22"/>
          <w:szCs w:val="22"/>
        </w:rPr>
        <w:t xml:space="preserve"> y así reducir desigualdades mediante el acceso a vivienda asequible y transformar áreas consolidadas de la ciudad para maximizar su potencial de desarrollo,</w:t>
      </w:r>
      <w:r w:rsidRPr="00F635C4">
        <w:rPr>
          <w:rFonts w:ascii="Arial" w:eastAsia="Arial" w:hAnsi="Arial" w:cs="Arial"/>
          <w:iCs/>
          <w:color w:val="000000"/>
          <w:sz w:val="22"/>
          <w:szCs w:val="22"/>
        </w:rPr>
        <w:t xml:space="preserve"> resulta relevante para disminuir la</w:t>
      </w:r>
      <w:r w:rsidR="00A469B2" w:rsidRPr="00F635C4">
        <w:rPr>
          <w:rFonts w:ascii="Arial" w:eastAsia="Arial" w:hAnsi="Arial" w:cs="Arial"/>
          <w:iCs/>
          <w:color w:val="000000"/>
          <w:sz w:val="22"/>
          <w:szCs w:val="22"/>
        </w:rPr>
        <w:t xml:space="preserve">s inequidades territoriales que seguirán en aumento si no se toman las medidas necesarias. Hoy en día la renovación urbana está estancada y la </w:t>
      </w:r>
      <w:r w:rsidR="00325251" w:rsidRPr="00F635C4">
        <w:rPr>
          <w:rFonts w:ascii="Arial" w:eastAsia="Arial" w:hAnsi="Arial" w:cs="Arial"/>
          <w:iCs/>
          <w:color w:val="000000"/>
          <w:sz w:val="22"/>
          <w:szCs w:val="22"/>
        </w:rPr>
        <w:t>vivienda social sigue relegándose a zonas periféricas</w:t>
      </w:r>
      <w:r w:rsidR="00A469B2" w:rsidRPr="00F635C4">
        <w:rPr>
          <w:rFonts w:ascii="Arial" w:eastAsia="Arial" w:hAnsi="Arial" w:cs="Arial"/>
          <w:iCs/>
          <w:color w:val="000000"/>
          <w:sz w:val="22"/>
          <w:szCs w:val="22"/>
        </w:rPr>
        <w:t>, segregando</w:t>
      </w:r>
      <w:r w:rsidR="00325251" w:rsidRPr="00F635C4">
        <w:rPr>
          <w:rFonts w:ascii="Arial" w:eastAsia="Arial" w:hAnsi="Arial" w:cs="Arial"/>
          <w:iCs/>
          <w:color w:val="000000"/>
          <w:sz w:val="22"/>
          <w:szCs w:val="22"/>
        </w:rPr>
        <w:t xml:space="preserve"> socioeconómicamente a la población</w:t>
      </w:r>
      <w:r w:rsidR="00C4716A" w:rsidRPr="00F635C4">
        <w:rPr>
          <w:rFonts w:ascii="Arial" w:eastAsia="Arial" w:hAnsi="Arial" w:cs="Arial"/>
          <w:iCs/>
          <w:color w:val="000000"/>
          <w:sz w:val="22"/>
          <w:szCs w:val="22"/>
        </w:rPr>
        <w:t xml:space="preserve"> y </w:t>
      </w:r>
      <w:r w:rsidR="00A469B2" w:rsidRPr="00F635C4">
        <w:rPr>
          <w:rFonts w:ascii="Arial" w:eastAsia="Arial" w:hAnsi="Arial" w:cs="Arial"/>
          <w:iCs/>
          <w:color w:val="000000"/>
          <w:sz w:val="22"/>
          <w:szCs w:val="22"/>
        </w:rPr>
        <w:t>aumentando los tiempos de desplazamien</w:t>
      </w:r>
      <w:r w:rsidR="00325251" w:rsidRPr="00F635C4">
        <w:rPr>
          <w:rFonts w:ascii="Arial" w:eastAsia="Arial" w:hAnsi="Arial" w:cs="Arial"/>
          <w:iCs/>
          <w:color w:val="000000"/>
          <w:sz w:val="22"/>
          <w:szCs w:val="22"/>
        </w:rPr>
        <w:t xml:space="preserve">to. </w:t>
      </w:r>
    </w:p>
    <w:p w14:paraId="7B858B80" w14:textId="3EF0F806" w:rsidR="00AA223E" w:rsidRPr="00F635C4" w:rsidRDefault="00AA223E" w:rsidP="003D5EE4">
      <w:pPr>
        <w:pBdr>
          <w:top w:val="nil"/>
          <w:left w:val="nil"/>
          <w:bottom w:val="nil"/>
          <w:right w:val="nil"/>
          <w:between w:val="nil"/>
        </w:pBdr>
        <w:spacing w:before="240" w:after="240" w:line="276" w:lineRule="auto"/>
        <w:jc w:val="both"/>
        <w:rPr>
          <w:rFonts w:ascii="Arial" w:eastAsia="Arial" w:hAnsi="Arial" w:cs="Arial"/>
          <w:iCs/>
          <w:color w:val="000000"/>
          <w:sz w:val="22"/>
          <w:szCs w:val="22"/>
        </w:rPr>
      </w:pPr>
      <w:r w:rsidRPr="00F635C4">
        <w:rPr>
          <w:rFonts w:ascii="Arial" w:eastAsia="Arial" w:hAnsi="Arial" w:cs="Arial"/>
          <w:iCs/>
          <w:color w:val="000000"/>
          <w:sz w:val="22"/>
          <w:szCs w:val="22"/>
        </w:rPr>
        <w:t xml:space="preserve">Desde el punto de vista de conveniencia, la iniciativa tiene el mérito de articular tres frentes de política urbana que usualmente se tramitan por separado: la renovación urbana en áreas consolidadas, el desarrollo del mercado de vivienda en arriendo especializado y la promoción de vivienda social en localizaciones centrales. Esta articulación es coherente con el POT vigente y </w:t>
      </w:r>
      <w:r w:rsidR="00BE1EB9" w:rsidRPr="00F635C4">
        <w:rPr>
          <w:rFonts w:ascii="Arial" w:eastAsia="Arial" w:hAnsi="Arial" w:cs="Arial"/>
          <w:iCs/>
          <w:color w:val="000000"/>
          <w:sz w:val="22"/>
          <w:szCs w:val="22"/>
        </w:rPr>
        <w:t>la Nueva Agenda Urbana de</w:t>
      </w:r>
      <w:r w:rsidRPr="00F635C4">
        <w:rPr>
          <w:rFonts w:ascii="Arial" w:eastAsia="Arial" w:hAnsi="Arial" w:cs="Arial"/>
          <w:iCs/>
          <w:color w:val="000000"/>
          <w:sz w:val="22"/>
          <w:szCs w:val="22"/>
        </w:rPr>
        <w:t xml:space="preserve"> </w:t>
      </w:r>
      <w:r w:rsidR="00BE1EB9" w:rsidRPr="00F635C4">
        <w:rPr>
          <w:rFonts w:ascii="Arial" w:eastAsia="Arial" w:hAnsi="Arial" w:cs="Arial"/>
          <w:iCs/>
          <w:color w:val="000000"/>
          <w:sz w:val="22"/>
          <w:szCs w:val="22"/>
        </w:rPr>
        <w:t>ONU-</w:t>
      </w:r>
      <w:r w:rsidRPr="00F635C4">
        <w:rPr>
          <w:rFonts w:ascii="Arial" w:eastAsia="Arial" w:hAnsi="Arial" w:cs="Arial"/>
          <w:iCs/>
          <w:color w:val="000000"/>
          <w:sz w:val="22"/>
          <w:szCs w:val="22"/>
        </w:rPr>
        <w:t>Hábitat, en la medida en que orienta recursos privados hacia la densificación equilibrada del suelo ya urbanizado, reduce la presión de expansión hacia la periferia y contribuye a que la vivienda de menores ingresos deje de estar confinada a zonas alejadas de las oportunidades de empleo y servicios urbanos.</w:t>
      </w:r>
    </w:p>
    <w:p w14:paraId="36D89A95" w14:textId="650B28BB" w:rsidR="00AA223E" w:rsidRPr="00F635C4" w:rsidRDefault="00AA223E" w:rsidP="003D5EE4">
      <w:pPr>
        <w:pBdr>
          <w:top w:val="nil"/>
          <w:left w:val="nil"/>
          <w:bottom w:val="nil"/>
          <w:right w:val="nil"/>
          <w:between w:val="nil"/>
        </w:pBdr>
        <w:spacing w:before="240" w:after="240" w:line="276" w:lineRule="auto"/>
        <w:jc w:val="both"/>
        <w:rPr>
          <w:rFonts w:ascii="Arial" w:eastAsia="Arial" w:hAnsi="Arial" w:cs="Arial"/>
          <w:iCs/>
          <w:color w:val="000000"/>
          <w:sz w:val="22"/>
          <w:szCs w:val="22"/>
        </w:rPr>
      </w:pPr>
      <w:r w:rsidRPr="00F635C4">
        <w:rPr>
          <w:rFonts w:ascii="Arial" w:eastAsia="Arial" w:hAnsi="Arial" w:cs="Arial"/>
          <w:iCs/>
          <w:color w:val="000000"/>
          <w:sz w:val="22"/>
          <w:szCs w:val="22"/>
        </w:rPr>
        <w:t>Un elemento positivo del proyecto es que los beneficios propuestos no se conciben como exenciones automáticas, sino como tratamientos condicionados al cumplimiento de requisitos urbanísticos y sociales. En el caso de la renovación urbana, el descuento en el predial se concentra en los propietarios que aportan suelo y permanecen en el proyecto, lo que refuerza los objetivos de protección de moradores. En el arrendamiento especializado, la exención se condiciona a que los proyectos tengan un operador formal, un número mínimo de unidades, certificación en construcción sostenible y compromiso de no enajenar las viviendas de manera fragmentada durante el periodo de beneficio. Finalmente, en la vivienda social se liga el descuento en delineación urbana a proyectos que cumplan criterios de sostenibilidad y estándares mínimos de área, lo que introduce un componente de calidad y no solo de cantidad en la producción de VIS y VIP.</w:t>
      </w:r>
    </w:p>
    <w:p w14:paraId="478C71C0" w14:textId="6E365864" w:rsidR="00C34550" w:rsidRPr="00F635C4" w:rsidRDefault="00F635C4" w:rsidP="00AD01FC">
      <w:pPr>
        <w:pBdr>
          <w:top w:val="nil"/>
          <w:left w:val="nil"/>
          <w:bottom w:val="nil"/>
          <w:right w:val="nil"/>
          <w:between w:val="nil"/>
        </w:pBdr>
        <w:spacing w:before="240" w:after="240" w:line="276" w:lineRule="auto"/>
        <w:jc w:val="both"/>
        <w:rPr>
          <w:rFonts w:ascii="Arial" w:eastAsia="Arial" w:hAnsi="Arial" w:cs="Arial"/>
          <w:iCs/>
          <w:color w:val="000000"/>
          <w:sz w:val="22"/>
          <w:szCs w:val="22"/>
        </w:rPr>
      </w:pPr>
      <w:r w:rsidRPr="00F635C4">
        <w:rPr>
          <w:rFonts w:ascii="Arial" w:eastAsia="Arial" w:hAnsi="Arial" w:cs="Arial"/>
          <w:iCs/>
          <w:color w:val="000000"/>
          <w:sz w:val="22"/>
          <w:szCs w:val="22"/>
        </w:rPr>
        <w:t>Igualmente</w:t>
      </w:r>
      <w:r w:rsidR="00C92C5E" w:rsidRPr="00F635C4">
        <w:rPr>
          <w:rFonts w:ascii="Arial" w:eastAsia="Arial" w:hAnsi="Arial" w:cs="Arial"/>
          <w:iCs/>
          <w:color w:val="000000"/>
          <w:sz w:val="22"/>
          <w:szCs w:val="22"/>
        </w:rPr>
        <w:t>, cabe señalar que l</w:t>
      </w:r>
      <w:r w:rsidR="00AD01FC" w:rsidRPr="00F635C4">
        <w:rPr>
          <w:rFonts w:ascii="Arial" w:eastAsia="Arial" w:hAnsi="Arial" w:cs="Arial"/>
          <w:iCs/>
          <w:color w:val="000000"/>
          <w:sz w:val="22"/>
          <w:szCs w:val="22"/>
        </w:rPr>
        <w:t xml:space="preserve">a Nueva Agenda Urbana </w:t>
      </w:r>
      <w:r w:rsidR="006248BE" w:rsidRPr="00F635C4">
        <w:rPr>
          <w:rFonts w:ascii="Arial" w:eastAsia="Arial" w:hAnsi="Arial" w:cs="Arial"/>
          <w:iCs/>
          <w:color w:val="000000"/>
          <w:sz w:val="22"/>
          <w:szCs w:val="22"/>
        </w:rPr>
        <w:t xml:space="preserve">ONU-Hábitat </w:t>
      </w:r>
      <w:r w:rsidR="00AD01FC" w:rsidRPr="00F635C4">
        <w:rPr>
          <w:rFonts w:ascii="Arial" w:eastAsia="Arial" w:hAnsi="Arial" w:cs="Arial"/>
          <w:iCs/>
          <w:color w:val="000000"/>
          <w:sz w:val="22"/>
          <w:szCs w:val="22"/>
        </w:rPr>
        <w:t xml:space="preserve">alienta </w:t>
      </w:r>
      <w:r w:rsidR="00C92C5E" w:rsidRPr="00F635C4">
        <w:rPr>
          <w:rFonts w:ascii="Arial" w:eastAsia="Arial" w:hAnsi="Arial" w:cs="Arial"/>
          <w:iCs/>
          <w:color w:val="000000"/>
          <w:sz w:val="22"/>
          <w:szCs w:val="22"/>
        </w:rPr>
        <w:t xml:space="preserve">el </w:t>
      </w:r>
      <w:r w:rsidR="00AD01FC" w:rsidRPr="00F635C4">
        <w:rPr>
          <w:rFonts w:ascii="Arial" w:eastAsia="Arial" w:hAnsi="Arial" w:cs="Arial"/>
          <w:iCs/>
          <w:color w:val="000000"/>
          <w:sz w:val="22"/>
          <w:szCs w:val="22"/>
        </w:rPr>
        <w:t>“desarrollo de políticas, instrumentos, mecanismos y modelos de financiación que promuevan el acceso a una amplia gama de opciones de vivienda asequibles y sostenibles, incluido el alquiler y otras opciones de tenencia”.</w:t>
      </w:r>
      <w:r w:rsidR="00AD01FC" w:rsidRPr="00F635C4">
        <w:rPr>
          <w:rStyle w:val="Refdenotaalpie"/>
          <w:rFonts w:ascii="Arial" w:eastAsia="Arial" w:hAnsi="Arial" w:cs="Arial"/>
          <w:iCs/>
          <w:color w:val="000000"/>
          <w:sz w:val="22"/>
          <w:szCs w:val="22"/>
        </w:rPr>
        <w:footnoteReference w:id="12"/>
      </w:r>
    </w:p>
    <w:p w14:paraId="0B13A096" w14:textId="3205EAF5" w:rsidR="00F635C4" w:rsidRPr="00F635C4" w:rsidRDefault="00F635C4" w:rsidP="00AD01FC">
      <w:pPr>
        <w:pBdr>
          <w:top w:val="nil"/>
          <w:left w:val="nil"/>
          <w:bottom w:val="nil"/>
          <w:right w:val="nil"/>
          <w:between w:val="nil"/>
        </w:pBdr>
        <w:spacing w:before="240" w:after="240" w:line="276" w:lineRule="auto"/>
        <w:jc w:val="both"/>
        <w:rPr>
          <w:rFonts w:ascii="Arial" w:eastAsia="Arial" w:hAnsi="Arial" w:cs="Arial"/>
          <w:iCs/>
          <w:color w:val="000000"/>
          <w:sz w:val="22"/>
          <w:szCs w:val="22"/>
        </w:rPr>
      </w:pPr>
      <w:r w:rsidRPr="00F635C4">
        <w:rPr>
          <w:rFonts w:ascii="Arial" w:eastAsia="Arial" w:hAnsi="Arial" w:cs="Arial"/>
          <w:iCs/>
          <w:color w:val="000000"/>
          <w:sz w:val="22"/>
          <w:szCs w:val="22"/>
        </w:rPr>
        <w:t>Adicionalmente, es necesario mencionar que el Proyecto de Acuerdo se conecta de manera directa con el ODS 11</w:t>
      </w:r>
      <w:r w:rsidRPr="00F635C4">
        <w:rPr>
          <w:rStyle w:val="Refdenotaalpie"/>
          <w:rFonts w:ascii="Arial" w:eastAsia="Arial" w:hAnsi="Arial" w:cs="Arial"/>
          <w:iCs/>
          <w:color w:val="000000"/>
          <w:sz w:val="22"/>
          <w:szCs w:val="22"/>
        </w:rPr>
        <w:footnoteReference w:id="13"/>
      </w:r>
      <w:r w:rsidRPr="00F635C4">
        <w:rPr>
          <w:rFonts w:ascii="Arial" w:eastAsia="Arial" w:hAnsi="Arial" w:cs="Arial"/>
          <w:iCs/>
          <w:color w:val="000000"/>
          <w:sz w:val="22"/>
          <w:szCs w:val="22"/>
        </w:rPr>
        <w:t xml:space="preserve"> porque condiciona los beneficios tributarios a que los proyectos de renovación urbana y de vivienda social cumplan estándares de construcción sostenible. En la práctica, esto implica apostarle a una ciudad más compacta, que aprovecha mejor el suelo ya urbanizado y ofrece vivienda asequible en zonas bien localizadas, reduciendo así el consumo de suelo y la huella ambiental de la urbanización. Al mismo tiempo, estos proyectos impulsan la creación de parques y zonas verdes en áreas consolidadas y favorecen una urbanización más inclusiva, al acercar vivienda adecuada y formal a los hogares de menores ingresos y no relegarlos a la periferia.</w:t>
      </w:r>
    </w:p>
    <w:p w14:paraId="448FA4AE" w14:textId="0686A99E" w:rsidR="00294037" w:rsidRPr="00F635C4" w:rsidRDefault="00AA223E" w:rsidP="003D5EE4">
      <w:pPr>
        <w:pBdr>
          <w:top w:val="nil"/>
          <w:left w:val="nil"/>
          <w:bottom w:val="nil"/>
          <w:right w:val="nil"/>
          <w:between w:val="nil"/>
        </w:pBdr>
        <w:spacing w:before="240" w:after="240" w:line="276" w:lineRule="auto"/>
        <w:jc w:val="both"/>
        <w:rPr>
          <w:rFonts w:ascii="Arial" w:eastAsia="Arial" w:hAnsi="Arial" w:cs="Arial"/>
          <w:iCs/>
          <w:color w:val="000000"/>
          <w:sz w:val="22"/>
          <w:szCs w:val="22"/>
        </w:rPr>
      </w:pPr>
      <w:r w:rsidRPr="00F635C4">
        <w:rPr>
          <w:rFonts w:ascii="Arial" w:eastAsia="Arial" w:hAnsi="Arial" w:cs="Arial"/>
          <w:iCs/>
          <w:color w:val="000000"/>
          <w:sz w:val="22"/>
          <w:szCs w:val="22"/>
        </w:rPr>
        <w:t xml:space="preserve">En síntesis, la Corporación se encuentra frente a una iniciativa que, en términos de política urbana y habitacional, apunta en la dirección correcta: reorienta recursos privados hacia la renovación de la ciudad construida, introduce incentivos para la vivienda social bien localizada y abre un espacio para la consolidación de un mercado de arriendo especializado más formal y accesible. </w:t>
      </w:r>
      <w:r w:rsidR="00294037" w:rsidRPr="00F635C4">
        <w:rPr>
          <w:rFonts w:ascii="Arial" w:eastAsia="Arial" w:hAnsi="Arial" w:cs="Arial"/>
          <w:iCs/>
          <w:color w:val="000000"/>
          <w:sz w:val="22"/>
          <w:szCs w:val="22"/>
        </w:rPr>
        <w:t xml:space="preserve">Por estas razones, se evidencia que el Proyecto de Acuerdo 971 de 2025 es viable y necesario para el Distrito Capital. </w:t>
      </w:r>
    </w:p>
    <w:p w14:paraId="0044671E" w14:textId="532742B0" w:rsidR="00294037" w:rsidRPr="00F635C4" w:rsidRDefault="00294037" w:rsidP="00294037">
      <w:pPr>
        <w:pBdr>
          <w:top w:val="nil"/>
          <w:left w:val="nil"/>
          <w:bottom w:val="nil"/>
          <w:right w:val="nil"/>
          <w:between w:val="nil"/>
        </w:pBdr>
        <w:spacing w:before="240" w:after="240" w:line="276" w:lineRule="auto"/>
        <w:jc w:val="center"/>
        <w:rPr>
          <w:rFonts w:ascii="Arial" w:eastAsia="Arial" w:hAnsi="Arial" w:cs="Arial"/>
          <w:b/>
          <w:bCs/>
          <w:iCs/>
          <w:color w:val="000000"/>
          <w:sz w:val="22"/>
          <w:szCs w:val="22"/>
        </w:rPr>
      </w:pPr>
      <w:r w:rsidRPr="00F635C4">
        <w:rPr>
          <w:rFonts w:ascii="Arial" w:eastAsia="Arial" w:hAnsi="Arial" w:cs="Arial"/>
          <w:b/>
          <w:bCs/>
          <w:iCs/>
          <w:color w:val="000000"/>
          <w:sz w:val="22"/>
          <w:szCs w:val="22"/>
        </w:rPr>
        <w:t>10. CONCLUSIÓN</w:t>
      </w:r>
    </w:p>
    <w:p w14:paraId="60D96712" w14:textId="258D31FC" w:rsidR="00294037" w:rsidRPr="00F635C4" w:rsidRDefault="00294037" w:rsidP="00294037">
      <w:pPr>
        <w:pBdr>
          <w:top w:val="nil"/>
          <w:left w:val="nil"/>
          <w:bottom w:val="nil"/>
          <w:right w:val="nil"/>
          <w:between w:val="nil"/>
        </w:pBdr>
        <w:spacing w:before="240" w:after="240" w:line="276" w:lineRule="auto"/>
        <w:jc w:val="both"/>
        <w:rPr>
          <w:rFonts w:ascii="Arial" w:eastAsia="Arial" w:hAnsi="Arial" w:cs="Arial"/>
          <w:iCs/>
          <w:color w:val="000000"/>
          <w:sz w:val="22"/>
          <w:szCs w:val="22"/>
        </w:rPr>
      </w:pPr>
      <w:r w:rsidRPr="00F635C4">
        <w:rPr>
          <w:rFonts w:ascii="Arial" w:eastAsia="Arial" w:hAnsi="Arial" w:cs="Arial"/>
          <w:iCs/>
          <w:color w:val="000000"/>
          <w:sz w:val="22"/>
          <w:szCs w:val="22"/>
        </w:rPr>
        <w:t xml:space="preserve">De conformidad con las consideraciones planteadas en esta ponencia, me permito rendir </w:t>
      </w:r>
      <w:r w:rsidRPr="00F635C4">
        <w:rPr>
          <w:rFonts w:ascii="Arial" w:eastAsia="Arial" w:hAnsi="Arial" w:cs="Arial"/>
          <w:b/>
          <w:bCs/>
          <w:iCs/>
          <w:color w:val="000000"/>
          <w:sz w:val="22"/>
          <w:szCs w:val="22"/>
        </w:rPr>
        <w:t>PONENCIA POSITIVA</w:t>
      </w:r>
      <w:r w:rsidRPr="00F635C4">
        <w:rPr>
          <w:rFonts w:ascii="Arial" w:eastAsia="Arial" w:hAnsi="Arial" w:cs="Arial"/>
          <w:iCs/>
          <w:color w:val="000000"/>
          <w:sz w:val="22"/>
          <w:szCs w:val="22"/>
        </w:rPr>
        <w:t xml:space="preserve"> al Proyecto de Acuerdo 971 de 2025 “</w:t>
      </w:r>
      <w:r w:rsidRPr="00F635C4">
        <w:rPr>
          <w:rFonts w:ascii="Arial" w:eastAsia="Arial" w:hAnsi="Arial" w:cs="Arial"/>
          <w:i/>
          <w:color w:val="000000"/>
          <w:sz w:val="22"/>
          <w:szCs w:val="22"/>
        </w:rPr>
        <w:t>POR MEDIO DEL CUAL SE FORMULAN LINEAMIENTOS PARA LA IMPLEMENTACIÓN DE INCENTIVOS PARA ATRAER LA INVERSIÓN, GENERACIÓN DE EMPLEO Y DESARROLLO URBANO EQUITATIVO EN BOGOTÁ Y SE DICTAN OTRAS DISPOSICIONES</w:t>
      </w:r>
      <w:r w:rsidRPr="00F635C4">
        <w:rPr>
          <w:rFonts w:ascii="Arial" w:eastAsia="Arial" w:hAnsi="Arial" w:cs="Arial"/>
          <w:iCs/>
          <w:color w:val="000000"/>
          <w:sz w:val="22"/>
          <w:szCs w:val="22"/>
        </w:rPr>
        <w:t xml:space="preserve">”. </w:t>
      </w:r>
    </w:p>
    <w:p w14:paraId="74541E45" w14:textId="4DD8907F" w:rsidR="00294037" w:rsidRPr="00F635C4" w:rsidRDefault="00294037" w:rsidP="00294037">
      <w:pPr>
        <w:pBdr>
          <w:top w:val="nil"/>
          <w:left w:val="nil"/>
          <w:bottom w:val="nil"/>
          <w:right w:val="nil"/>
          <w:between w:val="nil"/>
        </w:pBdr>
        <w:spacing w:before="240" w:after="240" w:line="276" w:lineRule="auto"/>
        <w:jc w:val="both"/>
        <w:rPr>
          <w:rFonts w:ascii="Arial" w:eastAsia="Arial" w:hAnsi="Arial" w:cs="Arial"/>
          <w:iCs/>
          <w:color w:val="000000"/>
          <w:sz w:val="22"/>
          <w:szCs w:val="22"/>
        </w:rPr>
      </w:pPr>
      <w:r w:rsidRPr="00F635C4">
        <w:rPr>
          <w:rFonts w:ascii="Arial" w:eastAsia="Arial" w:hAnsi="Arial" w:cs="Arial"/>
          <w:iCs/>
          <w:color w:val="000000"/>
          <w:sz w:val="22"/>
          <w:szCs w:val="22"/>
        </w:rPr>
        <w:t>Cordialmente,</w:t>
      </w:r>
    </w:p>
    <w:p w14:paraId="42772774" w14:textId="77777777" w:rsidR="00294037" w:rsidRPr="00F635C4" w:rsidRDefault="00294037" w:rsidP="00294037">
      <w:pPr>
        <w:pBdr>
          <w:top w:val="nil"/>
          <w:left w:val="nil"/>
          <w:bottom w:val="nil"/>
          <w:right w:val="nil"/>
          <w:between w:val="nil"/>
        </w:pBdr>
        <w:spacing w:after="240"/>
        <w:contextualSpacing/>
        <w:jc w:val="both"/>
        <w:rPr>
          <w:rFonts w:ascii="Arial" w:eastAsia="Arial" w:hAnsi="Arial" w:cs="Arial"/>
          <w:iCs/>
          <w:color w:val="000000"/>
          <w:sz w:val="22"/>
          <w:szCs w:val="22"/>
        </w:rPr>
      </w:pPr>
    </w:p>
    <w:p w14:paraId="0B45A889" w14:textId="77777777" w:rsidR="00294037" w:rsidRPr="00F635C4" w:rsidRDefault="00294037" w:rsidP="00294037">
      <w:pPr>
        <w:pBdr>
          <w:top w:val="nil"/>
          <w:left w:val="nil"/>
          <w:bottom w:val="nil"/>
          <w:right w:val="nil"/>
          <w:between w:val="nil"/>
        </w:pBdr>
        <w:spacing w:after="240"/>
        <w:contextualSpacing/>
        <w:jc w:val="both"/>
        <w:rPr>
          <w:rFonts w:ascii="Arial" w:eastAsia="Arial" w:hAnsi="Arial" w:cs="Arial"/>
          <w:iCs/>
          <w:color w:val="000000"/>
          <w:sz w:val="22"/>
          <w:szCs w:val="22"/>
        </w:rPr>
      </w:pPr>
    </w:p>
    <w:p w14:paraId="385ECDA9" w14:textId="319BF0B7" w:rsidR="00294037" w:rsidRPr="00F635C4" w:rsidRDefault="00294037" w:rsidP="00294037">
      <w:pPr>
        <w:pBdr>
          <w:top w:val="nil"/>
          <w:left w:val="nil"/>
          <w:bottom w:val="nil"/>
          <w:right w:val="nil"/>
          <w:between w:val="nil"/>
        </w:pBdr>
        <w:spacing w:after="240"/>
        <w:contextualSpacing/>
        <w:jc w:val="both"/>
        <w:rPr>
          <w:rFonts w:ascii="Arial" w:eastAsia="Arial" w:hAnsi="Arial" w:cs="Arial"/>
          <w:b/>
          <w:bCs/>
          <w:iCs/>
          <w:color w:val="000000"/>
          <w:sz w:val="22"/>
          <w:szCs w:val="22"/>
        </w:rPr>
      </w:pPr>
      <w:r w:rsidRPr="00F635C4">
        <w:rPr>
          <w:rFonts w:ascii="Arial" w:eastAsia="Arial" w:hAnsi="Arial" w:cs="Arial"/>
          <w:b/>
          <w:bCs/>
          <w:iCs/>
          <w:color w:val="000000"/>
          <w:sz w:val="22"/>
          <w:szCs w:val="22"/>
        </w:rPr>
        <w:t>JUAN DAVID QUINTERO RUBIO</w:t>
      </w:r>
    </w:p>
    <w:p w14:paraId="32A97B7E" w14:textId="3E37C7CF" w:rsidR="00294037" w:rsidRPr="00F635C4" w:rsidRDefault="00715097" w:rsidP="00294037">
      <w:pPr>
        <w:pBdr>
          <w:top w:val="nil"/>
          <w:left w:val="nil"/>
          <w:bottom w:val="nil"/>
          <w:right w:val="nil"/>
          <w:between w:val="nil"/>
        </w:pBdr>
        <w:spacing w:after="240"/>
        <w:contextualSpacing/>
        <w:jc w:val="both"/>
        <w:rPr>
          <w:rFonts w:ascii="Arial" w:eastAsia="Arial" w:hAnsi="Arial" w:cs="Arial"/>
          <w:iCs/>
          <w:color w:val="000000"/>
          <w:sz w:val="22"/>
          <w:szCs w:val="22"/>
        </w:rPr>
      </w:pPr>
      <w:r>
        <w:rPr>
          <w:rFonts w:ascii="Arial" w:eastAsia="Arial" w:hAnsi="Arial" w:cs="Arial"/>
          <w:iCs/>
          <w:color w:val="000000"/>
          <w:sz w:val="22"/>
          <w:szCs w:val="22"/>
        </w:rPr>
        <w:t xml:space="preserve">Coordinador </w:t>
      </w:r>
      <w:r w:rsidR="00294037" w:rsidRPr="00F635C4">
        <w:rPr>
          <w:rFonts w:ascii="Arial" w:eastAsia="Arial" w:hAnsi="Arial" w:cs="Arial"/>
          <w:iCs/>
          <w:color w:val="000000"/>
          <w:sz w:val="22"/>
          <w:szCs w:val="22"/>
        </w:rPr>
        <w:t>Ponente</w:t>
      </w:r>
    </w:p>
    <w:p w14:paraId="1299492F" w14:textId="7C82B177" w:rsidR="00294037" w:rsidRPr="00F635C4" w:rsidRDefault="00294037" w:rsidP="00294037">
      <w:pPr>
        <w:pBdr>
          <w:top w:val="nil"/>
          <w:left w:val="nil"/>
          <w:bottom w:val="nil"/>
          <w:right w:val="nil"/>
          <w:between w:val="nil"/>
        </w:pBdr>
        <w:spacing w:after="240"/>
        <w:contextualSpacing/>
        <w:jc w:val="both"/>
        <w:rPr>
          <w:rFonts w:ascii="Arial" w:eastAsia="Arial" w:hAnsi="Arial" w:cs="Arial"/>
          <w:iCs/>
          <w:color w:val="000000"/>
          <w:sz w:val="22"/>
          <w:szCs w:val="22"/>
        </w:rPr>
      </w:pPr>
      <w:r w:rsidRPr="00F635C4">
        <w:rPr>
          <w:rFonts w:ascii="Arial" w:eastAsia="Arial" w:hAnsi="Arial" w:cs="Arial"/>
          <w:iCs/>
          <w:color w:val="000000"/>
          <w:sz w:val="22"/>
          <w:szCs w:val="22"/>
        </w:rPr>
        <w:t xml:space="preserve">Concejal de Bogotá D.C. </w:t>
      </w:r>
    </w:p>
    <w:p w14:paraId="3436E69D" w14:textId="77777777" w:rsidR="00294037" w:rsidRPr="00F635C4" w:rsidRDefault="00294037" w:rsidP="00294037">
      <w:pPr>
        <w:pBdr>
          <w:top w:val="nil"/>
          <w:left w:val="nil"/>
          <w:bottom w:val="nil"/>
          <w:right w:val="nil"/>
          <w:between w:val="nil"/>
        </w:pBdr>
        <w:spacing w:before="240" w:after="240" w:line="276" w:lineRule="auto"/>
        <w:jc w:val="both"/>
        <w:rPr>
          <w:rFonts w:ascii="Arial" w:eastAsia="Arial" w:hAnsi="Arial" w:cs="Arial"/>
          <w:iCs/>
          <w:color w:val="000000"/>
          <w:sz w:val="22"/>
          <w:szCs w:val="22"/>
        </w:rPr>
      </w:pPr>
    </w:p>
    <w:p w14:paraId="051948C0" w14:textId="77777777" w:rsidR="00294037" w:rsidRPr="00F635C4" w:rsidRDefault="00294037" w:rsidP="00294037">
      <w:pPr>
        <w:pBdr>
          <w:top w:val="nil"/>
          <w:left w:val="nil"/>
          <w:bottom w:val="nil"/>
          <w:right w:val="nil"/>
          <w:between w:val="nil"/>
        </w:pBdr>
        <w:spacing w:before="240" w:after="240" w:line="276" w:lineRule="auto"/>
        <w:jc w:val="both"/>
        <w:rPr>
          <w:rFonts w:ascii="Arial" w:eastAsia="Arial" w:hAnsi="Arial" w:cs="Arial"/>
          <w:iCs/>
          <w:color w:val="000000"/>
          <w:sz w:val="22"/>
          <w:szCs w:val="22"/>
        </w:rPr>
      </w:pPr>
    </w:p>
    <w:p w14:paraId="114107CF" w14:textId="5A1D90C6" w:rsidR="0018473E" w:rsidRPr="00F635C4" w:rsidRDefault="00294037" w:rsidP="00294037">
      <w:pPr>
        <w:pBdr>
          <w:top w:val="nil"/>
          <w:left w:val="nil"/>
          <w:bottom w:val="nil"/>
          <w:right w:val="nil"/>
          <w:between w:val="nil"/>
        </w:pBdr>
        <w:spacing w:before="240" w:after="240" w:line="276" w:lineRule="auto"/>
        <w:jc w:val="center"/>
        <w:rPr>
          <w:rFonts w:ascii="Arial" w:eastAsia="Arial" w:hAnsi="Arial" w:cs="Arial"/>
          <w:b/>
          <w:bCs/>
          <w:iCs/>
          <w:color w:val="000000"/>
          <w:sz w:val="22"/>
          <w:szCs w:val="22"/>
        </w:rPr>
      </w:pPr>
      <w:r w:rsidRPr="00F635C4">
        <w:rPr>
          <w:rFonts w:ascii="Arial" w:eastAsia="Arial" w:hAnsi="Arial" w:cs="Arial"/>
          <w:b/>
          <w:bCs/>
          <w:iCs/>
          <w:color w:val="000000"/>
          <w:sz w:val="22"/>
          <w:szCs w:val="22"/>
        </w:rPr>
        <w:t>11. ARTICULADO PROPUESTO PARA DEBATE</w:t>
      </w:r>
    </w:p>
    <w:p w14:paraId="06D53E5C" w14:textId="77777777" w:rsidR="0018473E" w:rsidRPr="00F635C4" w:rsidRDefault="0018473E">
      <w:pPr>
        <w:jc w:val="center"/>
        <w:rPr>
          <w:rFonts w:ascii="Arial" w:eastAsia="Arial" w:hAnsi="Arial" w:cs="Arial"/>
          <w:b/>
          <w:sz w:val="22"/>
          <w:szCs w:val="22"/>
          <w:highlight w:val="white"/>
        </w:rPr>
      </w:pPr>
    </w:p>
    <w:p w14:paraId="3DC5FEB4" w14:textId="77777777" w:rsidR="0018473E" w:rsidRPr="00F635C4" w:rsidRDefault="00015EA5">
      <w:pPr>
        <w:jc w:val="center"/>
        <w:rPr>
          <w:rFonts w:ascii="Arial" w:eastAsia="Arial" w:hAnsi="Arial" w:cs="Arial"/>
          <w:b/>
          <w:sz w:val="22"/>
          <w:szCs w:val="22"/>
        </w:rPr>
      </w:pPr>
      <w:r w:rsidRPr="00F635C4">
        <w:rPr>
          <w:rFonts w:ascii="Arial" w:eastAsia="Arial" w:hAnsi="Arial" w:cs="Arial"/>
          <w:b/>
          <w:sz w:val="22"/>
          <w:szCs w:val="22"/>
        </w:rPr>
        <w:t>PROYECTO DE ACUERDO No. _______ DE 2025</w:t>
      </w:r>
    </w:p>
    <w:p w14:paraId="6FC90A77" w14:textId="77777777" w:rsidR="0018473E" w:rsidRPr="00F635C4" w:rsidRDefault="0018473E">
      <w:pPr>
        <w:jc w:val="center"/>
        <w:rPr>
          <w:rFonts w:ascii="Arial" w:eastAsia="Arial" w:hAnsi="Arial" w:cs="Arial"/>
          <w:b/>
          <w:sz w:val="22"/>
          <w:szCs w:val="22"/>
        </w:rPr>
      </w:pPr>
    </w:p>
    <w:p w14:paraId="0EA37796" w14:textId="77777777" w:rsidR="0018473E" w:rsidRPr="00F635C4" w:rsidRDefault="00015EA5">
      <w:pPr>
        <w:jc w:val="center"/>
        <w:rPr>
          <w:rFonts w:ascii="Arial" w:eastAsia="Arial" w:hAnsi="Arial" w:cs="Arial"/>
          <w:sz w:val="22"/>
          <w:szCs w:val="22"/>
          <w:shd w:val="clear" w:color="auto" w:fill="FFE599"/>
        </w:rPr>
      </w:pPr>
      <w:r w:rsidRPr="00F635C4">
        <w:rPr>
          <w:rFonts w:ascii="Arial" w:eastAsia="Arial" w:hAnsi="Arial" w:cs="Arial"/>
          <w:b/>
          <w:i/>
          <w:sz w:val="22"/>
          <w:szCs w:val="22"/>
        </w:rPr>
        <w:t>"POR MEDIO DEL CUAL SE FORMULAN LINEAMIENTOS PARA LA IMPLEMENTACIÓN DE INCENTIVOS PARA ATRAER LA INVERSIÓN, GENERACIÓN DE EMPLEO Y DESARROLLO URBANO EQUITATIVO EN BOGOTÁ Y SE DICTAN OTRAS DISPOSICIONES”</w:t>
      </w:r>
    </w:p>
    <w:p w14:paraId="302F6ED0" w14:textId="77777777" w:rsidR="0018473E" w:rsidRPr="00F635C4" w:rsidRDefault="0018473E">
      <w:pPr>
        <w:jc w:val="center"/>
        <w:rPr>
          <w:rFonts w:ascii="Arial" w:eastAsia="Arial" w:hAnsi="Arial" w:cs="Arial"/>
          <w:b/>
          <w:sz w:val="22"/>
          <w:szCs w:val="22"/>
        </w:rPr>
      </w:pPr>
    </w:p>
    <w:p w14:paraId="26BAF9AE" w14:textId="77777777" w:rsidR="0018473E" w:rsidRPr="00F635C4" w:rsidRDefault="00015EA5">
      <w:pPr>
        <w:jc w:val="center"/>
        <w:rPr>
          <w:rFonts w:ascii="Arial" w:eastAsia="Arial" w:hAnsi="Arial" w:cs="Arial"/>
          <w:b/>
          <w:sz w:val="22"/>
          <w:szCs w:val="22"/>
        </w:rPr>
      </w:pPr>
      <w:r w:rsidRPr="00F635C4">
        <w:rPr>
          <w:rFonts w:ascii="Arial" w:eastAsia="Arial" w:hAnsi="Arial" w:cs="Arial"/>
          <w:b/>
          <w:sz w:val="22"/>
          <w:szCs w:val="22"/>
        </w:rPr>
        <w:t>EL CONCEJO DE BOGOTÁ D.C.</w:t>
      </w:r>
    </w:p>
    <w:p w14:paraId="6E095310" w14:textId="77777777" w:rsidR="0018473E" w:rsidRPr="00F635C4" w:rsidRDefault="0018473E">
      <w:pPr>
        <w:jc w:val="center"/>
        <w:rPr>
          <w:rFonts w:ascii="Arial" w:eastAsia="Arial" w:hAnsi="Arial" w:cs="Arial"/>
          <w:b/>
          <w:sz w:val="22"/>
          <w:szCs w:val="22"/>
        </w:rPr>
      </w:pPr>
    </w:p>
    <w:p w14:paraId="76C47842" w14:textId="77777777" w:rsidR="0018473E" w:rsidRPr="00F635C4" w:rsidRDefault="00015EA5">
      <w:pPr>
        <w:jc w:val="center"/>
        <w:rPr>
          <w:rFonts w:ascii="Arial" w:eastAsia="Arial" w:hAnsi="Arial" w:cs="Arial"/>
          <w:sz w:val="22"/>
          <w:szCs w:val="22"/>
        </w:rPr>
      </w:pPr>
      <w:r w:rsidRPr="00F635C4">
        <w:rPr>
          <w:rFonts w:ascii="Arial" w:eastAsia="Arial" w:hAnsi="Arial" w:cs="Arial"/>
          <w:sz w:val="22"/>
          <w:szCs w:val="22"/>
        </w:rPr>
        <w:t>En ejercicio de las facultades que le confiere el numeral 1 del artículo 313 de la Constitución Política de Colombia y el numeral 1 del artículo 12 del Decreto Ley 1421 de 1993.</w:t>
      </w:r>
    </w:p>
    <w:p w14:paraId="6A466819" w14:textId="77777777" w:rsidR="0018473E" w:rsidRPr="00F635C4" w:rsidRDefault="0018473E">
      <w:pPr>
        <w:jc w:val="center"/>
        <w:rPr>
          <w:rFonts w:ascii="Arial" w:eastAsia="Arial" w:hAnsi="Arial" w:cs="Arial"/>
          <w:b/>
          <w:sz w:val="22"/>
          <w:szCs w:val="22"/>
        </w:rPr>
      </w:pPr>
    </w:p>
    <w:p w14:paraId="2A14651E" w14:textId="77777777" w:rsidR="0018473E" w:rsidRPr="00F635C4" w:rsidRDefault="00015EA5">
      <w:pPr>
        <w:jc w:val="center"/>
        <w:rPr>
          <w:rFonts w:ascii="Arial" w:eastAsia="Arial" w:hAnsi="Arial" w:cs="Arial"/>
          <w:b/>
          <w:sz w:val="22"/>
          <w:szCs w:val="22"/>
        </w:rPr>
      </w:pPr>
      <w:r w:rsidRPr="00F635C4">
        <w:rPr>
          <w:rFonts w:ascii="Arial" w:eastAsia="Arial" w:hAnsi="Arial" w:cs="Arial"/>
          <w:b/>
          <w:sz w:val="22"/>
          <w:szCs w:val="22"/>
        </w:rPr>
        <w:t>ACUERDA:</w:t>
      </w:r>
    </w:p>
    <w:p w14:paraId="6B780829" w14:textId="77777777" w:rsidR="0018473E" w:rsidRPr="00F635C4" w:rsidRDefault="0018473E">
      <w:pPr>
        <w:jc w:val="center"/>
        <w:rPr>
          <w:rFonts w:ascii="Arial" w:eastAsia="Arial" w:hAnsi="Arial" w:cs="Arial"/>
          <w:b/>
          <w:sz w:val="22"/>
          <w:szCs w:val="22"/>
        </w:rPr>
      </w:pPr>
    </w:p>
    <w:p w14:paraId="76DE0C0B" w14:textId="77777777" w:rsidR="0018473E" w:rsidRPr="00F635C4" w:rsidRDefault="00015EA5">
      <w:pPr>
        <w:jc w:val="both"/>
        <w:rPr>
          <w:rFonts w:ascii="Arial" w:eastAsia="Arial" w:hAnsi="Arial" w:cs="Arial"/>
          <w:color w:val="000000"/>
          <w:sz w:val="22"/>
          <w:szCs w:val="22"/>
        </w:rPr>
      </w:pPr>
      <w:r w:rsidRPr="00F635C4">
        <w:rPr>
          <w:rFonts w:ascii="Arial" w:eastAsia="Arial" w:hAnsi="Arial" w:cs="Arial"/>
          <w:b/>
          <w:color w:val="000000"/>
          <w:sz w:val="22"/>
          <w:szCs w:val="22"/>
        </w:rPr>
        <w:t xml:space="preserve">Artículo 1. Objeto:  </w:t>
      </w:r>
      <w:r w:rsidRPr="00F635C4">
        <w:rPr>
          <w:rFonts w:ascii="Arial" w:eastAsia="Arial" w:hAnsi="Arial" w:cs="Arial"/>
          <w:color w:val="000000"/>
          <w:sz w:val="22"/>
          <w:szCs w:val="22"/>
        </w:rPr>
        <w:t>Formular lineamientos para la implementación de incentivos tributarios orientados a atraer inversión, dinamizar el crecimiento económico y promover la generación de empleo.</w:t>
      </w:r>
    </w:p>
    <w:p w14:paraId="3F810BA4" w14:textId="77777777" w:rsidR="0018473E" w:rsidRPr="00F635C4" w:rsidRDefault="0018473E">
      <w:pPr>
        <w:jc w:val="both"/>
        <w:rPr>
          <w:rFonts w:ascii="Arial" w:eastAsia="Arial" w:hAnsi="Arial" w:cs="Arial"/>
          <w:b/>
          <w:color w:val="000000"/>
          <w:sz w:val="22"/>
          <w:szCs w:val="22"/>
        </w:rPr>
      </w:pPr>
    </w:p>
    <w:p w14:paraId="54A85FFA" w14:textId="77777777" w:rsidR="0018473E" w:rsidRPr="00F635C4" w:rsidRDefault="00015EA5">
      <w:pPr>
        <w:jc w:val="both"/>
        <w:rPr>
          <w:rFonts w:ascii="Arial" w:eastAsia="Arial" w:hAnsi="Arial" w:cs="Arial"/>
          <w:color w:val="000000"/>
          <w:sz w:val="22"/>
          <w:szCs w:val="22"/>
        </w:rPr>
      </w:pPr>
      <w:r w:rsidRPr="00F635C4">
        <w:rPr>
          <w:rFonts w:ascii="Arial" w:eastAsia="Arial" w:hAnsi="Arial" w:cs="Arial"/>
          <w:b/>
          <w:color w:val="000000"/>
          <w:sz w:val="22"/>
          <w:szCs w:val="22"/>
        </w:rPr>
        <w:t xml:space="preserve">Artículo </w:t>
      </w:r>
      <w:r w:rsidR="003907FE" w:rsidRPr="00F635C4">
        <w:rPr>
          <w:rFonts w:ascii="Arial" w:eastAsia="Arial" w:hAnsi="Arial" w:cs="Arial"/>
          <w:b/>
          <w:color w:val="000000"/>
          <w:sz w:val="22"/>
          <w:szCs w:val="22"/>
        </w:rPr>
        <w:t>2</w:t>
      </w:r>
      <w:r w:rsidRPr="00F635C4">
        <w:rPr>
          <w:rFonts w:ascii="Arial" w:eastAsia="Arial" w:hAnsi="Arial" w:cs="Arial"/>
          <w:b/>
          <w:color w:val="000000"/>
          <w:sz w:val="22"/>
          <w:szCs w:val="22"/>
        </w:rPr>
        <w:t>. Incentivos tributarios para la renovación urbana:</w:t>
      </w:r>
      <w:r w:rsidRPr="00F635C4">
        <w:rPr>
          <w:rFonts w:ascii="Arial" w:eastAsia="Arial" w:hAnsi="Arial" w:cs="Arial"/>
          <w:color w:val="000000"/>
          <w:sz w:val="22"/>
          <w:szCs w:val="22"/>
        </w:rPr>
        <w:t xml:space="preserve"> Los propietarios que aporten sus inmuebles para el desarrollo de proyectos de vivienda en áreas localizadas en el tratamiento  de Renovación Urbana o para Proyectos de Renovación Urbana para la Movilidad Sostenible (PRUMS) establecidos en el Decreto Distrital 555 de 2021, desde la publicación del presente acuerdo y hasta el 31 de diciembre de 2030, podrán acceder a una exención en el impuesto predial unificado respecto de las unidades de vivienda resultantes que les sean reconocidas como contraprestación por los inmuebles aportados. También podrán ser beneficiarios de la presente exención el cónyuge o herederos del aportante en ausencia de éste. </w:t>
      </w:r>
    </w:p>
    <w:p w14:paraId="5A76EC02" w14:textId="77777777" w:rsidR="0018473E" w:rsidRPr="00F635C4" w:rsidRDefault="0018473E">
      <w:pPr>
        <w:pBdr>
          <w:top w:val="nil"/>
          <w:left w:val="nil"/>
          <w:bottom w:val="nil"/>
          <w:right w:val="nil"/>
          <w:between w:val="nil"/>
        </w:pBdr>
        <w:jc w:val="both"/>
        <w:rPr>
          <w:rFonts w:ascii="Arial" w:eastAsia="Arial" w:hAnsi="Arial" w:cs="Arial"/>
          <w:color w:val="000000"/>
          <w:sz w:val="22"/>
          <w:szCs w:val="22"/>
        </w:rPr>
      </w:pPr>
    </w:p>
    <w:p w14:paraId="1F49020A" w14:textId="77777777" w:rsidR="0018473E" w:rsidRPr="00F635C4" w:rsidRDefault="00015EA5">
      <w:pPr>
        <w:jc w:val="both"/>
        <w:rPr>
          <w:rFonts w:ascii="Arial" w:eastAsia="Arial" w:hAnsi="Arial" w:cs="Arial"/>
          <w:color w:val="000000"/>
          <w:sz w:val="22"/>
          <w:szCs w:val="22"/>
        </w:rPr>
      </w:pPr>
      <w:r w:rsidRPr="00F635C4">
        <w:rPr>
          <w:rFonts w:ascii="Arial" w:eastAsia="Arial" w:hAnsi="Arial" w:cs="Arial"/>
          <w:color w:val="000000"/>
          <w:sz w:val="22"/>
          <w:szCs w:val="22"/>
        </w:rPr>
        <w:t xml:space="preserve">Los proyectos de vivienda en tratamiento de Renovación Urbana o Proyectos de Renovación Urbana para la Movilidad Sostenible (PRUMS) a que hace referencia el inciso anterior deberán estar certificados en construcción sostenible de acuerdo con consagrado en las disposiciones de la política de ecourbanismo y construcción sostenible, y deberá ser acreditada por el desarrollador del proyecto. </w:t>
      </w:r>
    </w:p>
    <w:p w14:paraId="4EDFF008" w14:textId="77777777" w:rsidR="0018473E" w:rsidRPr="00F635C4" w:rsidRDefault="0018473E">
      <w:pPr>
        <w:pBdr>
          <w:top w:val="nil"/>
          <w:left w:val="nil"/>
          <w:bottom w:val="nil"/>
          <w:right w:val="nil"/>
          <w:between w:val="nil"/>
        </w:pBdr>
        <w:jc w:val="both"/>
        <w:rPr>
          <w:rFonts w:ascii="Arial" w:eastAsia="Arial" w:hAnsi="Arial" w:cs="Arial"/>
          <w:color w:val="000000"/>
          <w:sz w:val="22"/>
          <w:szCs w:val="22"/>
        </w:rPr>
      </w:pPr>
    </w:p>
    <w:p w14:paraId="000837CE" w14:textId="77777777" w:rsidR="0018473E" w:rsidRPr="00F635C4" w:rsidRDefault="00015EA5">
      <w:pPr>
        <w:jc w:val="both"/>
        <w:rPr>
          <w:rFonts w:ascii="Arial" w:eastAsia="Arial" w:hAnsi="Arial" w:cs="Arial"/>
          <w:color w:val="000000"/>
          <w:sz w:val="22"/>
          <w:szCs w:val="22"/>
        </w:rPr>
      </w:pPr>
      <w:r w:rsidRPr="00F635C4">
        <w:rPr>
          <w:rFonts w:ascii="Arial" w:eastAsia="Arial" w:hAnsi="Arial" w:cs="Arial"/>
          <w:color w:val="000000"/>
          <w:sz w:val="22"/>
          <w:szCs w:val="22"/>
        </w:rPr>
        <w:t>El porcentaje de la exención en el impuesto predial unificado de la que trata el inciso primero será el siguiente:</w:t>
      </w:r>
    </w:p>
    <w:p w14:paraId="56518598" w14:textId="77777777" w:rsidR="0018473E" w:rsidRPr="00F635C4" w:rsidRDefault="0018473E">
      <w:pPr>
        <w:pBdr>
          <w:top w:val="nil"/>
          <w:left w:val="nil"/>
          <w:bottom w:val="nil"/>
          <w:right w:val="nil"/>
          <w:between w:val="nil"/>
        </w:pBdr>
        <w:jc w:val="both"/>
        <w:rPr>
          <w:rFonts w:ascii="Arial" w:eastAsia="Arial" w:hAnsi="Arial" w:cs="Arial"/>
          <w:color w:val="000000"/>
          <w:sz w:val="22"/>
          <w:szCs w:val="22"/>
        </w:rPr>
      </w:pPr>
    </w:p>
    <w:tbl>
      <w:tblPr>
        <w:tblStyle w:val="aa"/>
        <w:tblW w:w="5397" w:type="dxa"/>
        <w:jc w:val="center"/>
        <w:tblInd w:w="0" w:type="dxa"/>
        <w:tblLayout w:type="fixed"/>
        <w:tblLook w:val="0400" w:firstRow="0" w:lastRow="0" w:firstColumn="0" w:lastColumn="0" w:noHBand="0" w:noVBand="1"/>
      </w:tblPr>
      <w:tblGrid>
        <w:gridCol w:w="1019"/>
        <w:gridCol w:w="853"/>
        <w:gridCol w:w="705"/>
        <w:gridCol w:w="705"/>
        <w:gridCol w:w="705"/>
        <w:gridCol w:w="705"/>
        <w:gridCol w:w="705"/>
      </w:tblGrid>
      <w:tr w:rsidR="0018473E" w:rsidRPr="00F635C4" w14:paraId="718C0395" w14:textId="77777777">
        <w:trPr>
          <w:trHeight w:val="85"/>
          <w:jc w:val="center"/>
        </w:trPr>
        <w:tc>
          <w:tcPr>
            <w:tcW w:w="5397" w:type="dxa"/>
            <w:gridSpan w:val="7"/>
            <w:tcBorders>
              <w:top w:val="single" w:sz="4" w:space="0" w:color="000000"/>
              <w:left w:val="single" w:sz="4" w:space="0" w:color="000000"/>
              <w:bottom w:val="single" w:sz="4" w:space="0" w:color="000000"/>
              <w:right w:val="single" w:sz="4" w:space="0" w:color="000000"/>
            </w:tcBorders>
            <w:vAlign w:val="bottom"/>
          </w:tcPr>
          <w:p w14:paraId="107EF50F"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Año</w:t>
            </w:r>
          </w:p>
        </w:tc>
      </w:tr>
      <w:tr w:rsidR="0018473E" w:rsidRPr="00F635C4" w14:paraId="59722F1D" w14:textId="77777777">
        <w:trPr>
          <w:trHeight w:val="97"/>
          <w:jc w:val="center"/>
        </w:trPr>
        <w:tc>
          <w:tcPr>
            <w:tcW w:w="1019" w:type="dxa"/>
            <w:tcBorders>
              <w:top w:val="nil"/>
              <w:left w:val="single" w:sz="4" w:space="0" w:color="000000"/>
              <w:bottom w:val="single" w:sz="4" w:space="0" w:color="000000"/>
              <w:right w:val="single" w:sz="4" w:space="0" w:color="000000"/>
            </w:tcBorders>
            <w:vAlign w:val="bottom"/>
          </w:tcPr>
          <w:p w14:paraId="237261BE" w14:textId="77777777" w:rsidR="0018473E" w:rsidRPr="00F635C4" w:rsidRDefault="0018473E">
            <w:pPr>
              <w:pBdr>
                <w:top w:val="nil"/>
                <w:left w:val="nil"/>
                <w:bottom w:val="nil"/>
                <w:right w:val="nil"/>
                <w:between w:val="nil"/>
              </w:pBdr>
              <w:jc w:val="both"/>
              <w:rPr>
                <w:rFonts w:ascii="Arial" w:eastAsia="Arial" w:hAnsi="Arial" w:cs="Arial"/>
                <w:color w:val="000000"/>
                <w:sz w:val="22"/>
                <w:szCs w:val="22"/>
              </w:rPr>
            </w:pPr>
          </w:p>
        </w:tc>
        <w:tc>
          <w:tcPr>
            <w:tcW w:w="853" w:type="dxa"/>
            <w:tcBorders>
              <w:top w:val="nil"/>
              <w:left w:val="nil"/>
              <w:bottom w:val="single" w:sz="4" w:space="0" w:color="000000"/>
              <w:right w:val="single" w:sz="4" w:space="0" w:color="000000"/>
            </w:tcBorders>
            <w:vAlign w:val="bottom"/>
          </w:tcPr>
          <w:p w14:paraId="761C7E2D"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1 ​– 5</w:t>
            </w:r>
          </w:p>
        </w:tc>
        <w:tc>
          <w:tcPr>
            <w:tcW w:w="705" w:type="dxa"/>
            <w:tcBorders>
              <w:top w:val="nil"/>
              <w:left w:val="nil"/>
              <w:bottom w:val="single" w:sz="4" w:space="0" w:color="000000"/>
              <w:right w:val="single" w:sz="4" w:space="0" w:color="000000"/>
            </w:tcBorders>
            <w:vAlign w:val="bottom"/>
          </w:tcPr>
          <w:p w14:paraId="3E21817A"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​6</w:t>
            </w:r>
          </w:p>
        </w:tc>
        <w:tc>
          <w:tcPr>
            <w:tcW w:w="705" w:type="dxa"/>
            <w:tcBorders>
              <w:top w:val="nil"/>
              <w:left w:val="nil"/>
              <w:bottom w:val="single" w:sz="4" w:space="0" w:color="000000"/>
              <w:right w:val="single" w:sz="4" w:space="0" w:color="000000"/>
            </w:tcBorders>
            <w:vAlign w:val="bottom"/>
          </w:tcPr>
          <w:p w14:paraId="26710C59"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7​</w:t>
            </w:r>
          </w:p>
        </w:tc>
        <w:tc>
          <w:tcPr>
            <w:tcW w:w="705" w:type="dxa"/>
            <w:tcBorders>
              <w:top w:val="nil"/>
              <w:left w:val="nil"/>
              <w:bottom w:val="single" w:sz="4" w:space="0" w:color="000000"/>
              <w:right w:val="single" w:sz="4" w:space="0" w:color="000000"/>
            </w:tcBorders>
            <w:vAlign w:val="bottom"/>
          </w:tcPr>
          <w:p w14:paraId="59F382CE"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8​</w:t>
            </w:r>
          </w:p>
        </w:tc>
        <w:tc>
          <w:tcPr>
            <w:tcW w:w="705" w:type="dxa"/>
            <w:tcBorders>
              <w:top w:val="nil"/>
              <w:left w:val="nil"/>
              <w:bottom w:val="single" w:sz="4" w:space="0" w:color="000000"/>
              <w:right w:val="single" w:sz="4" w:space="0" w:color="000000"/>
            </w:tcBorders>
            <w:vAlign w:val="bottom"/>
          </w:tcPr>
          <w:p w14:paraId="6DEDF5D2"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9​</w:t>
            </w:r>
          </w:p>
        </w:tc>
        <w:tc>
          <w:tcPr>
            <w:tcW w:w="705" w:type="dxa"/>
            <w:tcBorders>
              <w:top w:val="nil"/>
              <w:left w:val="nil"/>
              <w:bottom w:val="single" w:sz="4" w:space="0" w:color="000000"/>
              <w:right w:val="single" w:sz="4" w:space="0" w:color="000000"/>
            </w:tcBorders>
            <w:vAlign w:val="bottom"/>
          </w:tcPr>
          <w:p w14:paraId="5CFC6316"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10​</w:t>
            </w:r>
          </w:p>
        </w:tc>
      </w:tr>
      <w:tr w:rsidR="0018473E" w:rsidRPr="00F635C4" w14:paraId="00BAA50E" w14:textId="77777777">
        <w:trPr>
          <w:trHeight w:val="99"/>
          <w:jc w:val="center"/>
        </w:trPr>
        <w:tc>
          <w:tcPr>
            <w:tcW w:w="1019" w:type="dxa"/>
            <w:tcBorders>
              <w:top w:val="nil"/>
              <w:left w:val="single" w:sz="4" w:space="0" w:color="000000"/>
              <w:bottom w:val="single" w:sz="4" w:space="0" w:color="000000"/>
              <w:right w:val="single" w:sz="4" w:space="0" w:color="000000"/>
            </w:tcBorders>
            <w:vAlign w:val="bottom"/>
          </w:tcPr>
          <w:p w14:paraId="0C864980"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Predial ​</w:t>
            </w:r>
          </w:p>
        </w:tc>
        <w:tc>
          <w:tcPr>
            <w:tcW w:w="853" w:type="dxa"/>
            <w:tcBorders>
              <w:top w:val="nil"/>
              <w:left w:val="nil"/>
              <w:bottom w:val="single" w:sz="4" w:space="0" w:color="000000"/>
              <w:right w:val="single" w:sz="4" w:space="0" w:color="000000"/>
            </w:tcBorders>
            <w:vAlign w:val="bottom"/>
          </w:tcPr>
          <w:p w14:paraId="16BE5E70"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100%​</w:t>
            </w:r>
          </w:p>
        </w:tc>
        <w:tc>
          <w:tcPr>
            <w:tcW w:w="705" w:type="dxa"/>
            <w:tcBorders>
              <w:top w:val="nil"/>
              <w:left w:val="nil"/>
              <w:bottom w:val="single" w:sz="4" w:space="0" w:color="000000"/>
              <w:right w:val="single" w:sz="4" w:space="0" w:color="000000"/>
            </w:tcBorders>
            <w:vAlign w:val="bottom"/>
          </w:tcPr>
          <w:p w14:paraId="2039A53D"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80%​</w:t>
            </w:r>
          </w:p>
        </w:tc>
        <w:tc>
          <w:tcPr>
            <w:tcW w:w="705" w:type="dxa"/>
            <w:tcBorders>
              <w:top w:val="nil"/>
              <w:left w:val="nil"/>
              <w:bottom w:val="single" w:sz="4" w:space="0" w:color="000000"/>
              <w:right w:val="single" w:sz="4" w:space="0" w:color="000000"/>
            </w:tcBorders>
            <w:vAlign w:val="bottom"/>
          </w:tcPr>
          <w:p w14:paraId="5E84D1A0"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60%​</w:t>
            </w:r>
          </w:p>
        </w:tc>
        <w:tc>
          <w:tcPr>
            <w:tcW w:w="705" w:type="dxa"/>
            <w:tcBorders>
              <w:top w:val="nil"/>
              <w:left w:val="nil"/>
              <w:bottom w:val="single" w:sz="4" w:space="0" w:color="000000"/>
              <w:right w:val="single" w:sz="4" w:space="0" w:color="000000"/>
            </w:tcBorders>
            <w:vAlign w:val="bottom"/>
          </w:tcPr>
          <w:p w14:paraId="286AD75F"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40%​</w:t>
            </w:r>
          </w:p>
        </w:tc>
        <w:tc>
          <w:tcPr>
            <w:tcW w:w="705" w:type="dxa"/>
            <w:tcBorders>
              <w:top w:val="nil"/>
              <w:left w:val="nil"/>
              <w:bottom w:val="single" w:sz="4" w:space="0" w:color="000000"/>
              <w:right w:val="single" w:sz="4" w:space="0" w:color="000000"/>
            </w:tcBorders>
            <w:vAlign w:val="bottom"/>
          </w:tcPr>
          <w:p w14:paraId="25D50EBC"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20%​</w:t>
            </w:r>
          </w:p>
        </w:tc>
        <w:tc>
          <w:tcPr>
            <w:tcW w:w="705" w:type="dxa"/>
            <w:tcBorders>
              <w:top w:val="nil"/>
              <w:left w:val="nil"/>
              <w:bottom w:val="single" w:sz="4" w:space="0" w:color="000000"/>
              <w:right w:val="single" w:sz="4" w:space="0" w:color="000000"/>
            </w:tcBorders>
            <w:vAlign w:val="bottom"/>
          </w:tcPr>
          <w:p w14:paraId="79A3171D"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10%​</w:t>
            </w:r>
          </w:p>
        </w:tc>
      </w:tr>
    </w:tbl>
    <w:p w14:paraId="135AC4C2" w14:textId="77777777" w:rsidR="0018473E" w:rsidRPr="00F635C4" w:rsidRDefault="0018473E">
      <w:pPr>
        <w:jc w:val="both"/>
        <w:rPr>
          <w:rFonts w:ascii="Arial" w:eastAsia="Arial" w:hAnsi="Arial" w:cs="Arial"/>
          <w:color w:val="000000"/>
          <w:sz w:val="22"/>
          <w:szCs w:val="22"/>
        </w:rPr>
      </w:pPr>
    </w:p>
    <w:p w14:paraId="1C3B0293" w14:textId="77777777" w:rsidR="0018473E" w:rsidRPr="00F635C4" w:rsidRDefault="00015EA5">
      <w:pPr>
        <w:jc w:val="both"/>
        <w:rPr>
          <w:rFonts w:ascii="Arial" w:eastAsia="Arial" w:hAnsi="Arial" w:cs="Arial"/>
          <w:b/>
          <w:color w:val="000000"/>
          <w:sz w:val="22"/>
          <w:szCs w:val="22"/>
        </w:rPr>
      </w:pPr>
      <w:r w:rsidRPr="00F635C4">
        <w:rPr>
          <w:rFonts w:ascii="Arial" w:eastAsia="Arial" w:hAnsi="Arial" w:cs="Arial"/>
          <w:color w:val="000000"/>
          <w:sz w:val="22"/>
          <w:szCs w:val="22"/>
        </w:rPr>
        <w:t>Esta exención solo podrá ser aplicada en el impuesto de los contribuyentes, a partir del año gravable siguiente a la existencia jurídica de los inmuebles reconocidos como contraprestación por los aportados para el desarrollo del nuevo proyecto de vivienda, y el cumplimiento de la certificación de construcción sostenible</w:t>
      </w:r>
    </w:p>
    <w:p w14:paraId="1EDE73F2" w14:textId="77777777" w:rsidR="0018473E" w:rsidRPr="00F635C4" w:rsidRDefault="0018473E">
      <w:pPr>
        <w:jc w:val="both"/>
        <w:rPr>
          <w:rFonts w:ascii="Arial" w:eastAsia="Arial" w:hAnsi="Arial" w:cs="Arial"/>
          <w:b/>
          <w:color w:val="000000"/>
          <w:sz w:val="22"/>
          <w:szCs w:val="22"/>
        </w:rPr>
      </w:pPr>
    </w:p>
    <w:p w14:paraId="5712BF07" w14:textId="77777777" w:rsidR="0018473E" w:rsidRPr="00F635C4" w:rsidRDefault="00015EA5">
      <w:pPr>
        <w:ind w:left="720"/>
        <w:jc w:val="both"/>
        <w:rPr>
          <w:rFonts w:ascii="Arial" w:eastAsia="Arial" w:hAnsi="Arial" w:cs="Arial"/>
          <w:color w:val="000000"/>
          <w:sz w:val="22"/>
          <w:szCs w:val="22"/>
        </w:rPr>
      </w:pPr>
      <w:r w:rsidRPr="00F635C4">
        <w:rPr>
          <w:rFonts w:ascii="Arial" w:eastAsia="Arial" w:hAnsi="Arial" w:cs="Arial"/>
          <w:b/>
          <w:color w:val="000000"/>
          <w:sz w:val="22"/>
          <w:szCs w:val="22"/>
        </w:rPr>
        <w:t xml:space="preserve">Parágrafo 1. </w:t>
      </w:r>
      <w:r w:rsidRPr="00F635C4">
        <w:rPr>
          <w:rFonts w:ascii="Arial" w:eastAsia="Arial" w:hAnsi="Arial" w:cs="Arial"/>
          <w:color w:val="000000"/>
          <w:sz w:val="22"/>
          <w:szCs w:val="22"/>
        </w:rPr>
        <w:t>Para los efectos de este artículo se entenderá que el predio ha sido aportado a un proyecto de vivienda en áreas localizadas en el tratamiento de Renovación Urbana o Proyectos de Renovación Urbana para la Movilidad Sostenible (PRUMS) localizados en el tratamiento de renovación urbana o en su tratamiento original, siempre que se haya perfeccionado la transferencia de dominio a favor del desarrollador del respectivo proyecto o del vehículo fiduciario destinado para tal fin.  </w:t>
      </w:r>
    </w:p>
    <w:p w14:paraId="053742E8" w14:textId="77777777" w:rsidR="0018473E" w:rsidRPr="00F635C4" w:rsidRDefault="0018473E">
      <w:pPr>
        <w:ind w:left="720"/>
        <w:jc w:val="both"/>
        <w:rPr>
          <w:rFonts w:ascii="Arial" w:eastAsia="Arial" w:hAnsi="Arial" w:cs="Arial"/>
          <w:b/>
          <w:color w:val="000000"/>
          <w:sz w:val="22"/>
          <w:szCs w:val="22"/>
        </w:rPr>
      </w:pPr>
    </w:p>
    <w:p w14:paraId="340E6180" w14:textId="77777777" w:rsidR="0018473E" w:rsidRPr="00F635C4" w:rsidRDefault="00015EA5">
      <w:pPr>
        <w:ind w:left="720"/>
        <w:jc w:val="both"/>
        <w:rPr>
          <w:rFonts w:ascii="Arial" w:eastAsia="Arial" w:hAnsi="Arial" w:cs="Arial"/>
          <w:color w:val="000000"/>
          <w:sz w:val="22"/>
          <w:szCs w:val="22"/>
        </w:rPr>
      </w:pPr>
      <w:r w:rsidRPr="00F635C4">
        <w:rPr>
          <w:rFonts w:ascii="Arial" w:eastAsia="Arial" w:hAnsi="Arial" w:cs="Arial"/>
          <w:b/>
          <w:color w:val="000000"/>
          <w:sz w:val="22"/>
          <w:szCs w:val="22"/>
        </w:rPr>
        <w:t>Parágrafo 2.</w:t>
      </w:r>
      <w:r w:rsidRPr="00F635C4">
        <w:rPr>
          <w:rFonts w:ascii="Arial" w:eastAsia="Arial" w:hAnsi="Arial" w:cs="Arial"/>
          <w:color w:val="000000"/>
          <w:sz w:val="22"/>
          <w:szCs w:val="22"/>
        </w:rPr>
        <w:t xml:space="preserve"> El Gobierno Distrital reglamentará los demás requisitos formales que se deben acreditar para acceder a esta exención.</w:t>
      </w:r>
    </w:p>
    <w:p w14:paraId="26BF2D37" w14:textId="77777777" w:rsidR="0018473E" w:rsidRPr="00F635C4" w:rsidRDefault="0018473E">
      <w:pPr>
        <w:ind w:left="720"/>
        <w:jc w:val="both"/>
        <w:rPr>
          <w:rFonts w:ascii="Arial" w:eastAsia="Arial" w:hAnsi="Arial" w:cs="Arial"/>
          <w:color w:val="000000"/>
          <w:sz w:val="22"/>
          <w:szCs w:val="22"/>
        </w:rPr>
      </w:pPr>
    </w:p>
    <w:p w14:paraId="0F3655EC" w14:textId="77777777" w:rsidR="0018473E" w:rsidRPr="00F635C4" w:rsidRDefault="00015EA5">
      <w:pPr>
        <w:ind w:left="720"/>
        <w:jc w:val="both"/>
        <w:rPr>
          <w:rFonts w:ascii="Arial" w:eastAsia="Arial" w:hAnsi="Arial" w:cs="Arial"/>
          <w:color w:val="000000"/>
          <w:sz w:val="22"/>
          <w:szCs w:val="22"/>
        </w:rPr>
      </w:pPr>
      <w:r w:rsidRPr="00F635C4">
        <w:rPr>
          <w:rFonts w:ascii="Arial" w:eastAsia="Arial" w:hAnsi="Arial" w:cs="Arial"/>
          <w:b/>
          <w:color w:val="000000"/>
          <w:sz w:val="22"/>
          <w:szCs w:val="22"/>
        </w:rPr>
        <w:t>Parágrafo 3.</w:t>
      </w:r>
      <w:r w:rsidRPr="00F635C4">
        <w:rPr>
          <w:rFonts w:ascii="Arial" w:eastAsia="Arial" w:hAnsi="Arial" w:cs="Arial"/>
          <w:color w:val="000000"/>
          <w:sz w:val="22"/>
          <w:szCs w:val="22"/>
        </w:rPr>
        <w:t xml:space="preserve"> Esta exención tendrá una vigencia de diez (10) años, a partir del año gravable siguiente a la existencia jurídica del nuevo inmueble.</w:t>
      </w:r>
    </w:p>
    <w:p w14:paraId="328B0864" w14:textId="77777777" w:rsidR="0018473E" w:rsidRPr="00F635C4" w:rsidRDefault="0018473E">
      <w:pPr>
        <w:jc w:val="both"/>
        <w:rPr>
          <w:rFonts w:ascii="Arial" w:eastAsia="Arial" w:hAnsi="Arial" w:cs="Arial"/>
          <w:color w:val="000000"/>
          <w:sz w:val="22"/>
          <w:szCs w:val="22"/>
        </w:rPr>
      </w:pPr>
    </w:p>
    <w:p w14:paraId="1ACDAD03" w14:textId="77777777" w:rsidR="0018473E" w:rsidRPr="00F635C4" w:rsidRDefault="0018473E">
      <w:pPr>
        <w:jc w:val="both"/>
        <w:rPr>
          <w:rFonts w:ascii="Arial" w:eastAsia="Arial" w:hAnsi="Arial" w:cs="Arial"/>
          <w:color w:val="000000"/>
          <w:sz w:val="22"/>
          <w:szCs w:val="22"/>
        </w:rPr>
      </w:pPr>
    </w:p>
    <w:p w14:paraId="5F7306E8" w14:textId="77777777" w:rsidR="0018473E" w:rsidRPr="00F635C4" w:rsidRDefault="003907FE">
      <w:pPr>
        <w:jc w:val="both"/>
        <w:rPr>
          <w:rFonts w:ascii="Arial" w:eastAsia="Arial" w:hAnsi="Arial" w:cs="Arial"/>
          <w:color w:val="000000"/>
          <w:sz w:val="22"/>
          <w:szCs w:val="22"/>
        </w:rPr>
      </w:pPr>
      <w:r w:rsidRPr="00F635C4">
        <w:rPr>
          <w:rFonts w:ascii="Arial" w:eastAsia="Arial" w:hAnsi="Arial" w:cs="Arial"/>
          <w:b/>
          <w:color w:val="000000"/>
          <w:sz w:val="22"/>
          <w:szCs w:val="22"/>
        </w:rPr>
        <w:t>Artículo 3</w:t>
      </w:r>
      <w:r w:rsidR="00015EA5" w:rsidRPr="00F635C4">
        <w:rPr>
          <w:rFonts w:ascii="Arial" w:eastAsia="Arial" w:hAnsi="Arial" w:cs="Arial"/>
          <w:b/>
          <w:color w:val="000000"/>
          <w:sz w:val="22"/>
          <w:szCs w:val="22"/>
        </w:rPr>
        <w:t xml:space="preserve">. Exención en el impuesto predial en proyectos de arrendamiento especializado. </w:t>
      </w:r>
      <w:r w:rsidR="00015EA5" w:rsidRPr="00F635C4">
        <w:rPr>
          <w:rFonts w:ascii="Arial" w:eastAsia="Arial" w:hAnsi="Arial" w:cs="Arial"/>
          <w:color w:val="000000"/>
          <w:sz w:val="22"/>
          <w:szCs w:val="22"/>
        </w:rPr>
        <w:t xml:space="preserve">Los contribuyentes que, a partir de la publicación del presente acuerdo y hasta el 31 de diciembre de 2030, obtengan licencia de construcción debidamente ejecutoriada en la modalidad de obra nueva para uso residencial, cuya destinación sea el desarrollo y operación de proyectos de arrendamiento especializado -en los términos del artículo 166 del Acuerdo Distrital 927 de 2024- tendrán una exención en el impuesto predial siempre y cuando cumplan con los siguientes requisitos:  </w:t>
      </w:r>
    </w:p>
    <w:p w14:paraId="5ADCE2AC" w14:textId="77777777" w:rsidR="0018473E" w:rsidRPr="00F635C4" w:rsidRDefault="0018473E">
      <w:pPr>
        <w:jc w:val="both"/>
        <w:rPr>
          <w:rFonts w:ascii="Arial" w:eastAsia="Arial" w:hAnsi="Arial" w:cs="Arial"/>
          <w:color w:val="000000"/>
          <w:sz w:val="22"/>
          <w:szCs w:val="22"/>
        </w:rPr>
      </w:pPr>
    </w:p>
    <w:p w14:paraId="66F0CC01" w14:textId="77777777" w:rsidR="0018473E" w:rsidRPr="00F635C4"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sidRPr="00F635C4">
        <w:rPr>
          <w:rFonts w:ascii="Arial" w:eastAsia="Arial" w:hAnsi="Arial" w:cs="Arial"/>
          <w:color w:val="000000"/>
          <w:sz w:val="22"/>
          <w:szCs w:val="22"/>
        </w:rPr>
        <w:t>Ser titular de una licencia de construcción de uso residencial, con posterioridad a la expedición del presente acuerdo.</w:t>
      </w:r>
    </w:p>
    <w:p w14:paraId="3ECF354E" w14:textId="77777777" w:rsidR="0018473E" w:rsidRPr="00F635C4" w:rsidRDefault="0018473E">
      <w:pPr>
        <w:pBdr>
          <w:top w:val="nil"/>
          <w:left w:val="nil"/>
          <w:bottom w:val="nil"/>
          <w:right w:val="nil"/>
          <w:between w:val="nil"/>
        </w:pBdr>
        <w:ind w:left="596" w:hanging="284"/>
        <w:jc w:val="both"/>
        <w:rPr>
          <w:rFonts w:ascii="Arial" w:eastAsia="Arial" w:hAnsi="Arial" w:cs="Arial"/>
          <w:color w:val="000000"/>
          <w:sz w:val="22"/>
          <w:szCs w:val="22"/>
        </w:rPr>
      </w:pPr>
    </w:p>
    <w:p w14:paraId="2E3CBD3D" w14:textId="77777777" w:rsidR="0018473E" w:rsidRPr="00F635C4"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sidRPr="00F635C4">
        <w:rPr>
          <w:rFonts w:ascii="Arial" w:eastAsia="Arial" w:hAnsi="Arial" w:cs="Arial"/>
          <w:color w:val="000000"/>
          <w:sz w:val="22"/>
          <w:szCs w:val="22"/>
        </w:rPr>
        <w:t>El inmueble de uso residencial con destino al arrendamiento especializado deberá contar con un mínimo de cincuenta (50) unidades, lo cual se verificará conforme las unidades de vivienda aprobadas en la respectiva licencia de construcción.</w:t>
      </w:r>
    </w:p>
    <w:p w14:paraId="6B34A712" w14:textId="77777777" w:rsidR="0018473E" w:rsidRPr="00F635C4"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sidRPr="00F635C4">
        <w:rPr>
          <w:rFonts w:ascii="Arial" w:eastAsia="Arial" w:hAnsi="Arial" w:cs="Arial"/>
          <w:color w:val="000000"/>
          <w:sz w:val="22"/>
          <w:szCs w:val="22"/>
        </w:rPr>
        <w:t>La titularidad del derecho de dominio del inmueble deberá estar en cabeza de un único propietario.</w:t>
      </w:r>
    </w:p>
    <w:p w14:paraId="5DFA5C8B" w14:textId="77777777" w:rsidR="0018473E" w:rsidRPr="00F635C4" w:rsidRDefault="0018473E">
      <w:pPr>
        <w:pBdr>
          <w:top w:val="nil"/>
          <w:left w:val="nil"/>
          <w:bottom w:val="nil"/>
          <w:right w:val="nil"/>
          <w:between w:val="nil"/>
        </w:pBdr>
        <w:ind w:left="596"/>
        <w:jc w:val="both"/>
        <w:rPr>
          <w:rFonts w:ascii="Arial" w:eastAsia="Arial" w:hAnsi="Arial" w:cs="Arial"/>
          <w:color w:val="000000"/>
          <w:sz w:val="22"/>
          <w:szCs w:val="22"/>
        </w:rPr>
      </w:pPr>
    </w:p>
    <w:p w14:paraId="68BD15D6" w14:textId="77777777" w:rsidR="0018473E" w:rsidRPr="00F635C4"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sidRPr="00F635C4">
        <w:rPr>
          <w:rFonts w:ascii="Arial" w:eastAsia="Arial" w:hAnsi="Arial" w:cs="Arial"/>
          <w:color w:val="000000"/>
          <w:sz w:val="22"/>
          <w:szCs w:val="22"/>
        </w:rPr>
        <w:t>El inmueble deberá destinarse al arrendamiento de las unidades construidas.</w:t>
      </w:r>
    </w:p>
    <w:p w14:paraId="38FBAEAD" w14:textId="77777777" w:rsidR="0018473E" w:rsidRPr="00F635C4" w:rsidRDefault="0018473E">
      <w:pPr>
        <w:pBdr>
          <w:top w:val="nil"/>
          <w:left w:val="nil"/>
          <w:bottom w:val="nil"/>
          <w:right w:val="nil"/>
          <w:between w:val="nil"/>
        </w:pBdr>
        <w:ind w:left="596" w:hanging="284"/>
        <w:rPr>
          <w:rFonts w:ascii="Arial" w:eastAsia="Arial" w:hAnsi="Arial" w:cs="Arial"/>
          <w:color w:val="000000"/>
          <w:sz w:val="22"/>
          <w:szCs w:val="22"/>
        </w:rPr>
      </w:pPr>
    </w:p>
    <w:p w14:paraId="2A68E6F6" w14:textId="77777777" w:rsidR="0018473E" w:rsidRPr="00F635C4"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sidRPr="00F635C4">
        <w:rPr>
          <w:rFonts w:ascii="Arial" w:eastAsia="Arial" w:hAnsi="Arial" w:cs="Arial"/>
          <w:color w:val="000000"/>
          <w:sz w:val="22"/>
          <w:szCs w:val="22"/>
        </w:rPr>
        <w:t>El operador deberá contar con la matrícula de arrendadores de acuerdo con lo dispuesto en la Ley 820 de 2003 en concordancia con la Resolución 927 de 2021, expedida por la Secretaría Distrital de Hábitat.</w:t>
      </w:r>
    </w:p>
    <w:p w14:paraId="1571231E" w14:textId="77777777" w:rsidR="0018473E" w:rsidRPr="00F635C4"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sidRPr="00F635C4">
        <w:rPr>
          <w:rFonts w:ascii="Arial" w:eastAsia="Arial" w:hAnsi="Arial" w:cs="Arial"/>
          <w:color w:val="000000"/>
          <w:sz w:val="22"/>
          <w:szCs w:val="22"/>
        </w:rPr>
        <w:t xml:space="preserve">El propietario del inmueble deberá contar con certificación de construcción sostenible de acuerdo con lo consagrado en las disposiciones de la política de ecourbanismo y construcción sostenible </w:t>
      </w:r>
    </w:p>
    <w:p w14:paraId="305CEEC5" w14:textId="77777777" w:rsidR="0018473E" w:rsidRPr="00F635C4" w:rsidRDefault="00015EA5">
      <w:pPr>
        <w:numPr>
          <w:ilvl w:val="0"/>
          <w:numId w:val="3"/>
        </w:numPr>
        <w:pBdr>
          <w:top w:val="nil"/>
          <w:left w:val="nil"/>
          <w:bottom w:val="nil"/>
          <w:right w:val="nil"/>
          <w:between w:val="nil"/>
        </w:pBdr>
        <w:spacing w:after="160" w:line="259" w:lineRule="auto"/>
        <w:ind w:left="596" w:hanging="284"/>
        <w:jc w:val="both"/>
        <w:rPr>
          <w:rFonts w:ascii="Arial" w:eastAsia="Arial" w:hAnsi="Arial" w:cs="Arial"/>
          <w:color w:val="000000"/>
          <w:sz w:val="22"/>
          <w:szCs w:val="22"/>
        </w:rPr>
      </w:pPr>
      <w:r w:rsidRPr="00F635C4">
        <w:rPr>
          <w:rFonts w:ascii="Arial" w:eastAsia="Arial" w:hAnsi="Arial" w:cs="Arial"/>
          <w:color w:val="000000"/>
          <w:sz w:val="22"/>
          <w:szCs w:val="22"/>
        </w:rPr>
        <w:t>El propietario deberá presentar y pagar la declaración del impuesto predial unificado en los plazos señalados por la Administración Distrital.</w:t>
      </w:r>
    </w:p>
    <w:p w14:paraId="7840D03B" w14:textId="77777777" w:rsidR="0018473E" w:rsidRPr="00F635C4" w:rsidRDefault="00015EA5">
      <w:pPr>
        <w:ind w:left="284"/>
        <w:jc w:val="both"/>
        <w:rPr>
          <w:rFonts w:ascii="Arial" w:eastAsia="Arial" w:hAnsi="Arial" w:cs="Arial"/>
          <w:color w:val="000000"/>
          <w:sz w:val="22"/>
          <w:szCs w:val="22"/>
        </w:rPr>
      </w:pPr>
      <w:r w:rsidRPr="00F635C4">
        <w:rPr>
          <w:rFonts w:ascii="Arial" w:eastAsia="Arial" w:hAnsi="Arial" w:cs="Arial"/>
          <w:color w:val="000000"/>
          <w:sz w:val="22"/>
          <w:szCs w:val="22"/>
        </w:rPr>
        <w:t>El porcentaje de la exención en el impuesto predial unificado será el siguiente:</w:t>
      </w:r>
    </w:p>
    <w:p w14:paraId="69817160" w14:textId="77777777" w:rsidR="0018473E" w:rsidRPr="00F635C4" w:rsidRDefault="0018473E">
      <w:pPr>
        <w:pBdr>
          <w:top w:val="nil"/>
          <w:left w:val="nil"/>
          <w:bottom w:val="nil"/>
          <w:right w:val="nil"/>
          <w:between w:val="nil"/>
        </w:pBdr>
        <w:ind w:left="284"/>
        <w:jc w:val="both"/>
        <w:rPr>
          <w:rFonts w:ascii="Arial" w:eastAsia="Arial" w:hAnsi="Arial" w:cs="Arial"/>
          <w:color w:val="000000"/>
          <w:sz w:val="22"/>
          <w:szCs w:val="22"/>
        </w:rPr>
      </w:pPr>
    </w:p>
    <w:p w14:paraId="25E75927" w14:textId="77777777" w:rsidR="0018473E" w:rsidRPr="00F635C4" w:rsidRDefault="0018473E">
      <w:pPr>
        <w:pBdr>
          <w:top w:val="nil"/>
          <w:left w:val="nil"/>
          <w:bottom w:val="nil"/>
          <w:right w:val="nil"/>
          <w:between w:val="nil"/>
        </w:pBdr>
        <w:ind w:left="284"/>
        <w:jc w:val="both"/>
        <w:rPr>
          <w:rFonts w:ascii="Arial" w:eastAsia="Arial" w:hAnsi="Arial" w:cs="Arial"/>
          <w:color w:val="000000"/>
          <w:sz w:val="22"/>
          <w:szCs w:val="22"/>
        </w:rPr>
      </w:pPr>
    </w:p>
    <w:tbl>
      <w:tblPr>
        <w:tblStyle w:val="ab"/>
        <w:tblW w:w="5315" w:type="dxa"/>
        <w:jc w:val="center"/>
        <w:tblInd w:w="0" w:type="dxa"/>
        <w:tblLayout w:type="fixed"/>
        <w:tblLook w:val="0400" w:firstRow="0" w:lastRow="0" w:firstColumn="0" w:lastColumn="0" w:noHBand="0" w:noVBand="1"/>
      </w:tblPr>
      <w:tblGrid>
        <w:gridCol w:w="1070"/>
        <w:gridCol w:w="837"/>
        <w:gridCol w:w="680"/>
        <w:gridCol w:w="680"/>
        <w:gridCol w:w="680"/>
        <w:gridCol w:w="680"/>
        <w:gridCol w:w="688"/>
      </w:tblGrid>
      <w:tr w:rsidR="0018473E" w:rsidRPr="00F635C4" w14:paraId="290BBE09" w14:textId="77777777">
        <w:trPr>
          <w:trHeight w:val="94"/>
          <w:jc w:val="center"/>
        </w:trPr>
        <w:tc>
          <w:tcPr>
            <w:tcW w:w="5315" w:type="dxa"/>
            <w:gridSpan w:val="7"/>
            <w:tcBorders>
              <w:top w:val="single" w:sz="4" w:space="0" w:color="000000"/>
              <w:left w:val="single" w:sz="4" w:space="0" w:color="000000"/>
              <w:bottom w:val="single" w:sz="4" w:space="0" w:color="000000"/>
              <w:right w:val="single" w:sz="4" w:space="0" w:color="000000"/>
            </w:tcBorders>
            <w:vAlign w:val="bottom"/>
          </w:tcPr>
          <w:p w14:paraId="3753E883" w14:textId="77777777" w:rsidR="0018473E" w:rsidRPr="00F635C4" w:rsidRDefault="00015EA5">
            <w:pPr>
              <w:pBdr>
                <w:top w:val="nil"/>
                <w:left w:val="nil"/>
                <w:bottom w:val="nil"/>
                <w:right w:val="nil"/>
                <w:between w:val="nil"/>
              </w:pBdr>
              <w:jc w:val="center"/>
              <w:rPr>
                <w:rFonts w:ascii="Arial" w:eastAsia="Arial" w:hAnsi="Arial" w:cs="Arial"/>
                <w:color w:val="000000"/>
                <w:sz w:val="22"/>
                <w:szCs w:val="22"/>
              </w:rPr>
            </w:pPr>
            <w:r w:rsidRPr="00F635C4">
              <w:rPr>
                <w:rFonts w:ascii="Arial" w:eastAsia="Arial" w:hAnsi="Arial" w:cs="Arial"/>
                <w:color w:val="000000"/>
                <w:sz w:val="22"/>
                <w:szCs w:val="22"/>
              </w:rPr>
              <w:t>Exención</w:t>
            </w:r>
          </w:p>
        </w:tc>
      </w:tr>
      <w:tr w:rsidR="0018473E" w:rsidRPr="00F635C4" w14:paraId="70FFAEF0" w14:textId="77777777">
        <w:trPr>
          <w:trHeight w:val="74"/>
          <w:jc w:val="center"/>
        </w:trPr>
        <w:tc>
          <w:tcPr>
            <w:tcW w:w="1070" w:type="dxa"/>
            <w:tcBorders>
              <w:top w:val="nil"/>
              <w:left w:val="single" w:sz="4" w:space="0" w:color="000000"/>
              <w:bottom w:val="single" w:sz="4" w:space="0" w:color="000000"/>
              <w:right w:val="single" w:sz="4" w:space="0" w:color="000000"/>
            </w:tcBorders>
            <w:vAlign w:val="bottom"/>
          </w:tcPr>
          <w:p w14:paraId="42862DF2"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Año​</w:t>
            </w:r>
          </w:p>
        </w:tc>
        <w:tc>
          <w:tcPr>
            <w:tcW w:w="837" w:type="dxa"/>
            <w:tcBorders>
              <w:top w:val="nil"/>
              <w:left w:val="nil"/>
              <w:bottom w:val="single" w:sz="4" w:space="0" w:color="000000"/>
              <w:right w:val="single" w:sz="4" w:space="0" w:color="000000"/>
            </w:tcBorders>
            <w:vAlign w:val="bottom"/>
          </w:tcPr>
          <w:p w14:paraId="309D6C1D"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1 ​– 5</w:t>
            </w:r>
          </w:p>
        </w:tc>
        <w:tc>
          <w:tcPr>
            <w:tcW w:w="680" w:type="dxa"/>
            <w:tcBorders>
              <w:top w:val="nil"/>
              <w:left w:val="nil"/>
              <w:bottom w:val="single" w:sz="4" w:space="0" w:color="000000"/>
              <w:right w:val="single" w:sz="4" w:space="0" w:color="000000"/>
            </w:tcBorders>
            <w:vAlign w:val="bottom"/>
          </w:tcPr>
          <w:p w14:paraId="22496E27"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​6</w:t>
            </w:r>
          </w:p>
        </w:tc>
        <w:tc>
          <w:tcPr>
            <w:tcW w:w="680" w:type="dxa"/>
            <w:tcBorders>
              <w:top w:val="nil"/>
              <w:left w:val="nil"/>
              <w:bottom w:val="single" w:sz="4" w:space="0" w:color="000000"/>
              <w:right w:val="single" w:sz="4" w:space="0" w:color="000000"/>
            </w:tcBorders>
            <w:vAlign w:val="bottom"/>
          </w:tcPr>
          <w:p w14:paraId="76138AEF"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7​</w:t>
            </w:r>
          </w:p>
        </w:tc>
        <w:tc>
          <w:tcPr>
            <w:tcW w:w="680" w:type="dxa"/>
            <w:tcBorders>
              <w:top w:val="nil"/>
              <w:left w:val="nil"/>
              <w:bottom w:val="single" w:sz="4" w:space="0" w:color="000000"/>
              <w:right w:val="single" w:sz="4" w:space="0" w:color="000000"/>
            </w:tcBorders>
            <w:vAlign w:val="bottom"/>
          </w:tcPr>
          <w:p w14:paraId="66C5D893"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8​</w:t>
            </w:r>
          </w:p>
        </w:tc>
        <w:tc>
          <w:tcPr>
            <w:tcW w:w="680" w:type="dxa"/>
            <w:tcBorders>
              <w:top w:val="nil"/>
              <w:left w:val="nil"/>
              <w:bottom w:val="single" w:sz="4" w:space="0" w:color="000000"/>
              <w:right w:val="single" w:sz="4" w:space="0" w:color="000000"/>
            </w:tcBorders>
            <w:vAlign w:val="bottom"/>
          </w:tcPr>
          <w:p w14:paraId="4F127304"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9​</w:t>
            </w:r>
          </w:p>
        </w:tc>
        <w:tc>
          <w:tcPr>
            <w:tcW w:w="688" w:type="dxa"/>
            <w:tcBorders>
              <w:top w:val="nil"/>
              <w:left w:val="nil"/>
              <w:bottom w:val="single" w:sz="4" w:space="0" w:color="000000"/>
              <w:right w:val="single" w:sz="4" w:space="0" w:color="000000"/>
            </w:tcBorders>
            <w:vAlign w:val="bottom"/>
          </w:tcPr>
          <w:p w14:paraId="11D344B6"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10​</w:t>
            </w:r>
          </w:p>
        </w:tc>
      </w:tr>
      <w:tr w:rsidR="0018473E" w:rsidRPr="00F635C4" w14:paraId="31AF5961" w14:textId="77777777">
        <w:trPr>
          <w:trHeight w:val="189"/>
          <w:jc w:val="center"/>
        </w:trPr>
        <w:tc>
          <w:tcPr>
            <w:tcW w:w="1070" w:type="dxa"/>
            <w:tcBorders>
              <w:top w:val="nil"/>
              <w:left w:val="single" w:sz="4" w:space="0" w:color="000000"/>
              <w:bottom w:val="single" w:sz="4" w:space="0" w:color="000000"/>
              <w:right w:val="single" w:sz="4" w:space="0" w:color="000000"/>
            </w:tcBorders>
            <w:vAlign w:val="bottom"/>
          </w:tcPr>
          <w:p w14:paraId="1BE72F91"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Predial ​</w:t>
            </w:r>
          </w:p>
        </w:tc>
        <w:tc>
          <w:tcPr>
            <w:tcW w:w="837" w:type="dxa"/>
            <w:tcBorders>
              <w:top w:val="nil"/>
              <w:left w:val="nil"/>
              <w:bottom w:val="single" w:sz="4" w:space="0" w:color="000000"/>
              <w:right w:val="single" w:sz="4" w:space="0" w:color="000000"/>
            </w:tcBorders>
            <w:vAlign w:val="bottom"/>
          </w:tcPr>
          <w:p w14:paraId="0F188341"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90%​</w:t>
            </w:r>
          </w:p>
        </w:tc>
        <w:tc>
          <w:tcPr>
            <w:tcW w:w="680" w:type="dxa"/>
            <w:tcBorders>
              <w:top w:val="nil"/>
              <w:left w:val="nil"/>
              <w:bottom w:val="single" w:sz="4" w:space="0" w:color="000000"/>
              <w:right w:val="single" w:sz="4" w:space="0" w:color="000000"/>
            </w:tcBorders>
            <w:vAlign w:val="bottom"/>
          </w:tcPr>
          <w:p w14:paraId="3A700338"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70%​</w:t>
            </w:r>
          </w:p>
        </w:tc>
        <w:tc>
          <w:tcPr>
            <w:tcW w:w="680" w:type="dxa"/>
            <w:tcBorders>
              <w:top w:val="nil"/>
              <w:left w:val="nil"/>
              <w:bottom w:val="single" w:sz="4" w:space="0" w:color="000000"/>
              <w:right w:val="single" w:sz="4" w:space="0" w:color="000000"/>
            </w:tcBorders>
            <w:vAlign w:val="bottom"/>
          </w:tcPr>
          <w:p w14:paraId="7638546E"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50%​</w:t>
            </w:r>
          </w:p>
        </w:tc>
        <w:tc>
          <w:tcPr>
            <w:tcW w:w="680" w:type="dxa"/>
            <w:tcBorders>
              <w:top w:val="nil"/>
              <w:left w:val="nil"/>
              <w:bottom w:val="single" w:sz="4" w:space="0" w:color="000000"/>
              <w:right w:val="single" w:sz="4" w:space="0" w:color="000000"/>
            </w:tcBorders>
            <w:vAlign w:val="bottom"/>
          </w:tcPr>
          <w:p w14:paraId="6A0BFF09"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30%​</w:t>
            </w:r>
          </w:p>
        </w:tc>
        <w:tc>
          <w:tcPr>
            <w:tcW w:w="680" w:type="dxa"/>
            <w:tcBorders>
              <w:top w:val="nil"/>
              <w:left w:val="nil"/>
              <w:bottom w:val="single" w:sz="4" w:space="0" w:color="000000"/>
              <w:right w:val="single" w:sz="4" w:space="0" w:color="000000"/>
            </w:tcBorders>
            <w:vAlign w:val="bottom"/>
          </w:tcPr>
          <w:p w14:paraId="6943FEDE"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20%​</w:t>
            </w:r>
          </w:p>
        </w:tc>
        <w:tc>
          <w:tcPr>
            <w:tcW w:w="688" w:type="dxa"/>
            <w:tcBorders>
              <w:top w:val="nil"/>
              <w:left w:val="nil"/>
              <w:bottom w:val="single" w:sz="4" w:space="0" w:color="000000"/>
              <w:right w:val="single" w:sz="4" w:space="0" w:color="000000"/>
            </w:tcBorders>
            <w:vAlign w:val="bottom"/>
          </w:tcPr>
          <w:p w14:paraId="70957B7D" w14:textId="77777777" w:rsidR="0018473E" w:rsidRPr="00F635C4" w:rsidRDefault="00015EA5">
            <w:pPr>
              <w:pBdr>
                <w:top w:val="nil"/>
                <w:left w:val="nil"/>
                <w:bottom w:val="nil"/>
                <w:right w:val="nil"/>
                <w:between w:val="nil"/>
              </w:pBdr>
              <w:jc w:val="both"/>
              <w:rPr>
                <w:rFonts w:ascii="Arial" w:eastAsia="Arial" w:hAnsi="Arial" w:cs="Arial"/>
                <w:color w:val="000000"/>
                <w:sz w:val="22"/>
                <w:szCs w:val="22"/>
              </w:rPr>
            </w:pPr>
            <w:r w:rsidRPr="00F635C4">
              <w:rPr>
                <w:rFonts w:ascii="Arial" w:eastAsia="Arial" w:hAnsi="Arial" w:cs="Arial"/>
                <w:color w:val="000000"/>
                <w:sz w:val="22"/>
                <w:szCs w:val="22"/>
              </w:rPr>
              <w:t>10%​</w:t>
            </w:r>
          </w:p>
        </w:tc>
      </w:tr>
    </w:tbl>
    <w:p w14:paraId="2F04B887" w14:textId="77777777" w:rsidR="0018473E" w:rsidRPr="00F635C4" w:rsidRDefault="0018473E">
      <w:pPr>
        <w:ind w:left="284"/>
        <w:jc w:val="both"/>
        <w:rPr>
          <w:rFonts w:ascii="Arial" w:eastAsia="Arial" w:hAnsi="Arial" w:cs="Arial"/>
          <w:color w:val="000000"/>
          <w:sz w:val="22"/>
          <w:szCs w:val="22"/>
        </w:rPr>
      </w:pPr>
    </w:p>
    <w:p w14:paraId="6327E829" w14:textId="77777777" w:rsidR="0018473E" w:rsidRPr="00F635C4" w:rsidRDefault="00015EA5">
      <w:pPr>
        <w:ind w:left="284"/>
        <w:jc w:val="both"/>
        <w:rPr>
          <w:rFonts w:ascii="Arial" w:eastAsia="Arial" w:hAnsi="Arial" w:cs="Arial"/>
          <w:color w:val="000000"/>
          <w:sz w:val="22"/>
          <w:szCs w:val="22"/>
        </w:rPr>
      </w:pPr>
      <w:r w:rsidRPr="00F635C4">
        <w:rPr>
          <w:rFonts w:ascii="Arial" w:eastAsia="Arial" w:hAnsi="Arial" w:cs="Arial"/>
          <w:color w:val="000000"/>
          <w:sz w:val="22"/>
          <w:szCs w:val="22"/>
        </w:rPr>
        <w:t>La exención en el impuesto predial unificado iniciará en el año gravable siguiente a la generación de la obligación tributaria por concepto de impuesto predial de la edificación y una vez se acredite por parte del propietario la certificación de construcción sostenible de que trata el numeral 6 del presente artículo.</w:t>
      </w:r>
    </w:p>
    <w:p w14:paraId="0D0253ED" w14:textId="77777777" w:rsidR="0018473E" w:rsidRPr="00F635C4" w:rsidRDefault="0018473E">
      <w:pPr>
        <w:ind w:left="284"/>
        <w:jc w:val="both"/>
        <w:rPr>
          <w:rFonts w:ascii="Arial" w:eastAsia="Arial" w:hAnsi="Arial" w:cs="Arial"/>
          <w:b/>
          <w:color w:val="000000"/>
          <w:sz w:val="22"/>
          <w:szCs w:val="22"/>
          <w:u w:val="single"/>
        </w:rPr>
      </w:pPr>
    </w:p>
    <w:p w14:paraId="2D5A5535" w14:textId="77777777" w:rsidR="0018473E" w:rsidRPr="00F635C4" w:rsidRDefault="00015EA5">
      <w:pPr>
        <w:ind w:left="284"/>
        <w:jc w:val="both"/>
        <w:rPr>
          <w:rFonts w:ascii="Arial" w:eastAsia="Arial" w:hAnsi="Arial" w:cs="Arial"/>
          <w:color w:val="000000"/>
          <w:sz w:val="22"/>
          <w:szCs w:val="22"/>
        </w:rPr>
      </w:pPr>
      <w:r w:rsidRPr="00F635C4">
        <w:rPr>
          <w:rFonts w:ascii="Arial" w:eastAsia="Arial" w:hAnsi="Arial" w:cs="Arial"/>
          <w:b/>
          <w:color w:val="000000"/>
          <w:sz w:val="22"/>
          <w:szCs w:val="22"/>
        </w:rPr>
        <w:t>Parágrafo.</w:t>
      </w:r>
      <w:r w:rsidRPr="00F635C4">
        <w:rPr>
          <w:rFonts w:ascii="Arial" w:eastAsia="Arial" w:hAnsi="Arial" w:cs="Arial"/>
          <w:color w:val="000000"/>
          <w:sz w:val="22"/>
          <w:szCs w:val="22"/>
        </w:rPr>
        <w:t xml:space="preserve"> La Administración Distrital reglamentará el procedimiento que deben seguir los interesados en la exención contemplada en este artículo</w:t>
      </w:r>
    </w:p>
    <w:p w14:paraId="7D83AF3D" w14:textId="77777777" w:rsidR="0018473E" w:rsidRPr="00F635C4" w:rsidRDefault="0018473E">
      <w:pPr>
        <w:ind w:left="284"/>
        <w:jc w:val="both"/>
        <w:rPr>
          <w:rFonts w:ascii="Arial" w:eastAsia="Arial" w:hAnsi="Arial" w:cs="Arial"/>
          <w:color w:val="000000"/>
          <w:sz w:val="22"/>
          <w:szCs w:val="22"/>
        </w:rPr>
      </w:pPr>
    </w:p>
    <w:p w14:paraId="3FE6A0F6" w14:textId="77777777" w:rsidR="0018473E" w:rsidRPr="00F635C4" w:rsidRDefault="003907FE">
      <w:pPr>
        <w:jc w:val="both"/>
        <w:rPr>
          <w:rFonts w:ascii="Arial" w:eastAsia="Arial" w:hAnsi="Arial" w:cs="Arial"/>
          <w:sz w:val="22"/>
          <w:szCs w:val="22"/>
        </w:rPr>
      </w:pPr>
      <w:r w:rsidRPr="00F635C4">
        <w:rPr>
          <w:rFonts w:ascii="Arial" w:eastAsia="Arial" w:hAnsi="Arial" w:cs="Arial"/>
          <w:b/>
          <w:sz w:val="22"/>
          <w:szCs w:val="22"/>
        </w:rPr>
        <w:t>Artículo 4</w:t>
      </w:r>
      <w:r w:rsidR="00015EA5" w:rsidRPr="00F635C4">
        <w:rPr>
          <w:rFonts w:ascii="Arial" w:eastAsia="Arial" w:hAnsi="Arial" w:cs="Arial"/>
          <w:b/>
          <w:sz w:val="22"/>
          <w:szCs w:val="22"/>
        </w:rPr>
        <w:t>.</w:t>
      </w:r>
      <w:r w:rsidR="00015EA5" w:rsidRPr="00F635C4">
        <w:rPr>
          <w:rFonts w:ascii="Arial" w:eastAsia="Arial" w:hAnsi="Arial" w:cs="Arial"/>
          <w:sz w:val="22"/>
          <w:szCs w:val="22"/>
        </w:rPr>
        <w:t xml:space="preserve"> Modifíquese el literal a) del artículo 9 del Acuerdo Distrital 352 de 2008 y adiciónese dos parágrafos al mismo artículo, los cuales quedarán así:</w:t>
      </w:r>
    </w:p>
    <w:p w14:paraId="0DB9C321" w14:textId="77777777" w:rsidR="0018473E" w:rsidRPr="00F635C4" w:rsidRDefault="0018473E">
      <w:pPr>
        <w:jc w:val="both"/>
        <w:rPr>
          <w:rFonts w:ascii="Arial" w:eastAsia="Arial" w:hAnsi="Arial" w:cs="Arial"/>
          <w:sz w:val="22"/>
          <w:szCs w:val="22"/>
        </w:rPr>
      </w:pPr>
    </w:p>
    <w:p w14:paraId="2A7F8096" w14:textId="77777777" w:rsidR="0018473E" w:rsidRPr="00F635C4" w:rsidRDefault="00015EA5">
      <w:pPr>
        <w:ind w:left="720"/>
        <w:jc w:val="both"/>
        <w:rPr>
          <w:rFonts w:ascii="Arial" w:eastAsia="Arial" w:hAnsi="Arial" w:cs="Arial"/>
          <w:sz w:val="22"/>
          <w:szCs w:val="22"/>
        </w:rPr>
      </w:pPr>
      <w:r w:rsidRPr="00F635C4">
        <w:rPr>
          <w:rFonts w:ascii="Arial" w:eastAsia="Arial" w:hAnsi="Arial" w:cs="Arial"/>
          <w:sz w:val="22"/>
          <w:szCs w:val="22"/>
        </w:rPr>
        <w:t>“</w:t>
      </w:r>
      <w:r w:rsidRPr="00F635C4">
        <w:rPr>
          <w:rFonts w:ascii="Arial" w:eastAsia="Arial" w:hAnsi="Arial" w:cs="Arial"/>
          <w:b/>
          <w:sz w:val="22"/>
          <w:szCs w:val="22"/>
        </w:rPr>
        <w:t>ARTÍCULO 9.</w:t>
      </w:r>
      <w:r w:rsidRPr="00F635C4">
        <w:rPr>
          <w:rFonts w:ascii="Arial" w:eastAsia="Arial" w:hAnsi="Arial" w:cs="Arial"/>
          <w:sz w:val="22"/>
          <w:szCs w:val="22"/>
        </w:rPr>
        <w:t xml:space="preserve"> </w:t>
      </w:r>
      <w:r w:rsidRPr="00F635C4">
        <w:rPr>
          <w:rFonts w:ascii="Arial" w:eastAsia="Arial" w:hAnsi="Arial" w:cs="Arial"/>
          <w:b/>
          <w:sz w:val="22"/>
          <w:szCs w:val="22"/>
        </w:rPr>
        <w:t>Exenciones.</w:t>
      </w:r>
      <w:r w:rsidRPr="00F635C4">
        <w:rPr>
          <w:rFonts w:ascii="Arial" w:eastAsia="Arial" w:hAnsi="Arial" w:cs="Arial"/>
          <w:sz w:val="22"/>
          <w:szCs w:val="22"/>
        </w:rPr>
        <w:t xml:space="preserve"> Estarán exentas del pago del impuesto de delineación urbana hasta el año 2019, las siguientes obras:</w:t>
      </w:r>
    </w:p>
    <w:p w14:paraId="7874CBC9" w14:textId="77777777" w:rsidR="0018473E" w:rsidRPr="00F635C4" w:rsidRDefault="0018473E">
      <w:pPr>
        <w:ind w:left="720"/>
        <w:jc w:val="both"/>
        <w:rPr>
          <w:rFonts w:ascii="Arial" w:eastAsia="Arial" w:hAnsi="Arial" w:cs="Arial"/>
          <w:sz w:val="22"/>
          <w:szCs w:val="22"/>
        </w:rPr>
      </w:pPr>
    </w:p>
    <w:p w14:paraId="33BAE14C" w14:textId="77777777" w:rsidR="0018473E" w:rsidRPr="00F635C4" w:rsidRDefault="00015EA5">
      <w:pPr>
        <w:ind w:left="720"/>
        <w:jc w:val="both"/>
        <w:rPr>
          <w:rFonts w:ascii="Arial" w:eastAsia="Arial" w:hAnsi="Arial" w:cs="Arial"/>
          <w:sz w:val="22"/>
          <w:szCs w:val="22"/>
        </w:rPr>
      </w:pPr>
      <w:r w:rsidRPr="00F635C4">
        <w:rPr>
          <w:rFonts w:ascii="Arial" w:eastAsia="Arial" w:hAnsi="Arial" w:cs="Arial"/>
          <w:sz w:val="22"/>
          <w:szCs w:val="22"/>
        </w:rPr>
        <w:t>a) En la modalidad de obra nueva, las obras correspondientes a los programas y soluciones de vivienda de interés social (VIS) y vivienda de interés prioritario (VIP) con sus correspondientes áreas comunes construidas en los estratos 1, 2 y 3.</w:t>
      </w:r>
    </w:p>
    <w:p w14:paraId="2361DD14" w14:textId="77777777" w:rsidR="0018473E" w:rsidRPr="00F635C4" w:rsidRDefault="0018473E">
      <w:pPr>
        <w:ind w:left="720"/>
        <w:jc w:val="both"/>
        <w:rPr>
          <w:rFonts w:ascii="Arial" w:eastAsia="Arial" w:hAnsi="Arial" w:cs="Arial"/>
          <w:sz w:val="22"/>
          <w:szCs w:val="22"/>
        </w:rPr>
      </w:pPr>
    </w:p>
    <w:p w14:paraId="7C6B1224" w14:textId="77777777" w:rsidR="0018473E" w:rsidRPr="00F635C4" w:rsidRDefault="00015EA5">
      <w:pPr>
        <w:ind w:left="720"/>
        <w:jc w:val="both"/>
        <w:rPr>
          <w:rFonts w:ascii="Arial" w:eastAsia="Arial" w:hAnsi="Arial" w:cs="Arial"/>
          <w:sz w:val="22"/>
          <w:szCs w:val="22"/>
        </w:rPr>
      </w:pPr>
      <w:r w:rsidRPr="00F635C4">
        <w:rPr>
          <w:rFonts w:ascii="Arial" w:eastAsia="Arial" w:hAnsi="Arial" w:cs="Arial"/>
          <w:sz w:val="22"/>
          <w:szCs w:val="22"/>
        </w:rPr>
        <w:t>(…)</w:t>
      </w:r>
    </w:p>
    <w:p w14:paraId="32A3F307" w14:textId="77777777" w:rsidR="0018473E" w:rsidRPr="00F635C4" w:rsidRDefault="00015EA5">
      <w:pPr>
        <w:ind w:left="720"/>
        <w:jc w:val="both"/>
        <w:rPr>
          <w:rFonts w:ascii="Arial" w:eastAsia="Arial" w:hAnsi="Arial" w:cs="Arial"/>
          <w:sz w:val="22"/>
          <w:szCs w:val="22"/>
        </w:rPr>
      </w:pPr>
      <w:r w:rsidRPr="00F635C4">
        <w:rPr>
          <w:rFonts w:ascii="Arial" w:eastAsia="Arial" w:hAnsi="Arial" w:cs="Arial"/>
          <w:b/>
          <w:sz w:val="22"/>
          <w:szCs w:val="22"/>
        </w:rPr>
        <w:t>Parágrafo 1.</w:t>
      </w:r>
      <w:r w:rsidRPr="00F635C4">
        <w:rPr>
          <w:rFonts w:ascii="Arial" w:eastAsia="Arial" w:hAnsi="Arial" w:cs="Arial"/>
          <w:sz w:val="22"/>
          <w:szCs w:val="22"/>
        </w:rPr>
        <w:t xml:space="preserve"> Las unidades VIS de estratos 4, 5 y 6 podrán acceder a una exención del 65% del impuesto a cargo de delineación urbana, siempre que se acredite cualquiera de las certificaciones de construcción sostenible consagradas en las disposiciones de la política de ecourbanismo y construcción sostenible.</w:t>
      </w:r>
    </w:p>
    <w:p w14:paraId="56AF2870" w14:textId="77777777" w:rsidR="0018473E" w:rsidRPr="00F635C4" w:rsidRDefault="0018473E">
      <w:pPr>
        <w:ind w:left="720"/>
        <w:jc w:val="both"/>
        <w:rPr>
          <w:rFonts w:ascii="Arial" w:eastAsia="Arial" w:hAnsi="Arial" w:cs="Arial"/>
          <w:sz w:val="22"/>
          <w:szCs w:val="22"/>
        </w:rPr>
      </w:pPr>
    </w:p>
    <w:p w14:paraId="18AF22D0" w14:textId="77777777" w:rsidR="0018473E" w:rsidRPr="00F635C4" w:rsidRDefault="00015EA5">
      <w:pPr>
        <w:ind w:left="720"/>
        <w:jc w:val="both"/>
        <w:rPr>
          <w:rFonts w:ascii="Arial" w:eastAsia="Arial" w:hAnsi="Arial" w:cs="Arial"/>
          <w:sz w:val="22"/>
          <w:szCs w:val="22"/>
        </w:rPr>
      </w:pPr>
      <w:r w:rsidRPr="00F635C4">
        <w:rPr>
          <w:rFonts w:ascii="Arial" w:eastAsia="Arial" w:hAnsi="Arial" w:cs="Arial"/>
          <w:b/>
          <w:sz w:val="22"/>
          <w:szCs w:val="22"/>
        </w:rPr>
        <w:t>Parágrafo 2</w:t>
      </w:r>
      <w:r w:rsidRPr="00F635C4">
        <w:rPr>
          <w:rFonts w:ascii="Arial" w:eastAsia="Arial" w:hAnsi="Arial" w:cs="Arial"/>
          <w:sz w:val="22"/>
          <w:szCs w:val="22"/>
        </w:rPr>
        <w:t>. Las viviendas deberán contar con el área mínima de 36 m2 de área construida de conformidad con lo establecido en el Plan de Ordenamiento Territorial (POT) vigente y las normas que lo reglamenten. En el caso de los proyectos inmobiliarios de vivienda que cuenten con licencias urbanísticas expedidas bajo normas anteriores al Decreto Distrital 555 de 2021, se aplicará el régimen de transición contemplado en el artículo 594 del mismo decreto.</w:t>
      </w:r>
    </w:p>
    <w:p w14:paraId="11D73C0A" w14:textId="77777777" w:rsidR="0018473E" w:rsidRPr="00F635C4" w:rsidRDefault="0018473E">
      <w:pPr>
        <w:jc w:val="both"/>
        <w:rPr>
          <w:rFonts w:ascii="Arial" w:eastAsia="Arial" w:hAnsi="Arial" w:cs="Arial"/>
          <w:sz w:val="22"/>
          <w:szCs w:val="22"/>
        </w:rPr>
      </w:pPr>
    </w:p>
    <w:p w14:paraId="09270123" w14:textId="77777777" w:rsidR="0018473E" w:rsidRPr="00F635C4" w:rsidRDefault="00015EA5">
      <w:pPr>
        <w:jc w:val="both"/>
        <w:rPr>
          <w:rFonts w:ascii="Arial" w:eastAsia="Arial" w:hAnsi="Arial" w:cs="Arial"/>
          <w:sz w:val="22"/>
          <w:szCs w:val="22"/>
        </w:rPr>
      </w:pPr>
      <w:bookmarkStart w:id="2" w:name="_heading=h.2et92p0" w:colFirst="0" w:colLast="0"/>
      <w:bookmarkEnd w:id="2"/>
      <w:r w:rsidRPr="00F635C4">
        <w:rPr>
          <w:rFonts w:ascii="Arial" w:eastAsia="Arial" w:hAnsi="Arial" w:cs="Arial"/>
          <w:b/>
          <w:sz w:val="22"/>
          <w:szCs w:val="22"/>
        </w:rPr>
        <w:t>Artículo 6. Vigencia:</w:t>
      </w:r>
      <w:r w:rsidR="003907FE" w:rsidRPr="00F635C4">
        <w:rPr>
          <w:rFonts w:ascii="Arial" w:eastAsia="Arial" w:hAnsi="Arial" w:cs="Arial"/>
          <w:b/>
          <w:sz w:val="22"/>
          <w:szCs w:val="22"/>
        </w:rPr>
        <w:t xml:space="preserve"> </w:t>
      </w:r>
      <w:r w:rsidRPr="00F635C4">
        <w:rPr>
          <w:rFonts w:ascii="Arial" w:eastAsia="Arial" w:hAnsi="Arial" w:cs="Arial"/>
          <w:sz w:val="22"/>
          <w:szCs w:val="22"/>
        </w:rPr>
        <w:t>El presente Acuerdo rige a partir de la fecha de su publicación y deroga las disposiciones que le sean contrarias.</w:t>
      </w:r>
    </w:p>
    <w:p w14:paraId="3863435A" w14:textId="77777777" w:rsidR="0018473E" w:rsidRPr="00F635C4" w:rsidRDefault="0018473E">
      <w:pPr>
        <w:jc w:val="both"/>
        <w:rPr>
          <w:rFonts w:ascii="Arial" w:eastAsia="Arial" w:hAnsi="Arial" w:cs="Arial"/>
          <w:sz w:val="22"/>
          <w:szCs w:val="22"/>
        </w:rPr>
      </w:pPr>
    </w:p>
    <w:p w14:paraId="531BB0E8" w14:textId="77777777" w:rsidR="0018473E" w:rsidRPr="00F635C4" w:rsidRDefault="0018473E">
      <w:pPr>
        <w:jc w:val="center"/>
        <w:rPr>
          <w:rFonts w:ascii="Arial" w:eastAsia="Arial" w:hAnsi="Arial" w:cs="Arial"/>
          <w:sz w:val="22"/>
          <w:szCs w:val="22"/>
        </w:rPr>
      </w:pPr>
    </w:p>
    <w:p w14:paraId="685E8C9F" w14:textId="77777777" w:rsidR="0018473E" w:rsidRPr="00F635C4" w:rsidRDefault="00015EA5">
      <w:pPr>
        <w:jc w:val="center"/>
        <w:rPr>
          <w:rFonts w:ascii="Arial" w:eastAsia="Arial" w:hAnsi="Arial" w:cs="Arial"/>
          <w:b/>
          <w:sz w:val="22"/>
          <w:szCs w:val="22"/>
        </w:rPr>
      </w:pPr>
      <w:r w:rsidRPr="00F635C4">
        <w:rPr>
          <w:rFonts w:ascii="Arial" w:eastAsia="Arial" w:hAnsi="Arial" w:cs="Arial"/>
          <w:b/>
          <w:sz w:val="22"/>
          <w:szCs w:val="22"/>
        </w:rPr>
        <w:t>PUBLÍQUESE, COMUNÍQUESE Y CÚMPLASE</w:t>
      </w:r>
    </w:p>
    <w:sectPr w:rsidR="0018473E" w:rsidRPr="00F635C4">
      <w:headerReference w:type="default" r:id="rId26"/>
      <w:footerReference w:type="default" r:id="rId2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E8E6D" w14:textId="77777777" w:rsidR="00E8714C" w:rsidRDefault="00E8714C">
      <w:r>
        <w:separator/>
      </w:r>
    </w:p>
  </w:endnote>
  <w:endnote w:type="continuationSeparator" w:id="0">
    <w:p w14:paraId="53F47AD3" w14:textId="77777777" w:rsidR="00E8714C" w:rsidRDefault="00E87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MV Boli"/>
    <w:charset w:val="00"/>
    <w:family w:val="auto"/>
    <w:pitch w:val="default"/>
  </w:font>
  <w:font w:name="Suez One">
    <w:charset w:val="B1"/>
    <w:family w:val="auto"/>
    <w:pitch w:val="variable"/>
    <w:sig w:usb0="00000807" w:usb1="40000000" w:usb2="00000000" w:usb3="00000000" w:csb0="000000B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osis">
    <w:charset w:val="4D"/>
    <w:family w:val="auto"/>
    <w:pitch w:val="variable"/>
    <w:sig w:usb0="A00000BF" w:usb1="4000207B" w:usb2="00000000" w:usb3="00000000" w:csb0="00000093"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1985194503"/>
      <w:docPartObj>
        <w:docPartGallery w:val="Page Numbers (Bottom of Page)"/>
        <w:docPartUnique/>
      </w:docPartObj>
    </w:sdtPr>
    <w:sdtEndPr>
      <w:rPr>
        <w:rStyle w:val="Nmerodepgina"/>
      </w:rPr>
    </w:sdtEndPr>
    <w:sdtContent>
      <w:p w14:paraId="033F65C2" w14:textId="63B68C02" w:rsidR="007553E7" w:rsidRDefault="007553E7" w:rsidP="004E00F1">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3B674142" w14:textId="77777777" w:rsidR="007553E7" w:rsidRDefault="007553E7" w:rsidP="007553E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F878D" w14:textId="77777777" w:rsidR="009923A9" w:rsidRDefault="009923A9">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6E88E" w14:textId="77777777" w:rsidR="009923A9" w:rsidRDefault="009923A9">
    <w:pPr>
      <w:pBdr>
        <w:top w:val="nil"/>
        <w:left w:val="nil"/>
        <w:bottom w:val="nil"/>
        <w:right w:val="nil"/>
        <w:between w:val="nil"/>
      </w:pBdr>
      <w:tabs>
        <w:tab w:val="center" w:pos="4419"/>
        <w:tab w:val="right" w:pos="8838"/>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B060C" w14:textId="77777777" w:rsidR="009923A9" w:rsidRDefault="009923A9" w:rsidP="007553E7">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77D18" w14:textId="77777777" w:rsidR="00E8714C" w:rsidRDefault="00E8714C">
      <w:r>
        <w:separator/>
      </w:r>
    </w:p>
  </w:footnote>
  <w:footnote w:type="continuationSeparator" w:id="0">
    <w:p w14:paraId="01E343C3" w14:textId="77777777" w:rsidR="00E8714C" w:rsidRDefault="00E8714C">
      <w:r>
        <w:continuationSeparator/>
      </w:r>
    </w:p>
  </w:footnote>
  <w:footnote w:id="1">
    <w:p w14:paraId="50FA3FBF" w14:textId="380E6ABD" w:rsidR="007D10E3" w:rsidRPr="00F635C4" w:rsidRDefault="007D10E3">
      <w:pPr>
        <w:pStyle w:val="Textonotapie"/>
        <w:rPr>
          <w:rFonts w:ascii="Arial" w:hAnsi="Arial" w:cs="Arial"/>
          <w:sz w:val="15"/>
          <w:szCs w:val="15"/>
          <w:lang w:val="en-US"/>
        </w:rPr>
      </w:pPr>
      <w:r w:rsidRPr="00F635C4">
        <w:rPr>
          <w:rStyle w:val="Refdenotaalpie"/>
          <w:rFonts w:ascii="Arial" w:hAnsi="Arial" w:cs="Arial"/>
          <w:sz w:val="15"/>
          <w:szCs w:val="15"/>
        </w:rPr>
        <w:footnoteRef/>
      </w:r>
      <w:r w:rsidRPr="00F635C4">
        <w:rPr>
          <w:rFonts w:ascii="Arial" w:hAnsi="Arial" w:cs="Arial"/>
          <w:sz w:val="15"/>
          <w:szCs w:val="15"/>
          <w:lang w:val="en-US"/>
        </w:rPr>
        <w:t xml:space="preserve"> </w:t>
      </w:r>
      <w:r w:rsidRPr="00F635C4">
        <w:rPr>
          <w:rFonts w:ascii="Arial" w:eastAsia="Arial" w:hAnsi="Arial" w:cs="Arial"/>
          <w:bCs/>
          <w:sz w:val="15"/>
          <w:szCs w:val="15"/>
          <w:lang w:val="en-US"/>
        </w:rPr>
        <w:t>Arts. 1, 287 y 317, CP.</w:t>
      </w:r>
    </w:p>
  </w:footnote>
  <w:footnote w:id="2">
    <w:p w14:paraId="2919EBA2" w14:textId="26520028" w:rsidR="007D10E3" w:rsidRPr="00F635C4" w:rsidRDefault="007D10E3">
      <w:pPr>
        <w:pStyle w:val="Textonotapie"/>
        <w:rPr>
          <w:rFonts w:ascii="Arial" w:hAnsi="Arial" w:cs="Arial"/>
          <w:sz w:val="15"/>
          <w:szCs w:val="15"/>
          <w:lang w:val="en-US"/>
        </w:rPr>
      </w:pPr>
      <w:r w:rsidRPr="00F635C4">
        <w:rPr>
          <w:rStyle w:val="Refdenotaalpie"/>
          <w:rFonts w:ascii="Arial" w:hAnsi="Arial" w:cs="Arial"/>
          <w:sz w:val="15"/>
          <w:szCs w:val="15"/>
        </w:rPr>
        <w:footnoteRef/>
      </w:r>
      <w:r w:rsidRPr="00F635C4">
        <w:rPr>
          <w:rFonts w:ascii="Arial" w:hAnsi="Arial" w:cs="Arial"/>
          <w:sz w:val="15"/>
          <w:szCs w:val="15"/>
          <w:lang w:val="en-US"/>
        </w:rPr>
        <w:t xml:space="preserve"> </w:t>
      </w:r>
      <w:r w:rsidRPr="00F635C4">
        <w:rPr>
          <w:rFonts w:ascii="Arial" w:eastAsia="Arial" w:hAnsi="Arial" w:cs="Arial"/>
          <w:bCs/>
          <w:sz w:val="15"/>
          <w:szCs w:val="15"/>
          <w:lang w:val="en-US"/>
        </w:rPr>
        <w:t>Art. 51, CP.</w:t>
      </w:r>
    </w:p>
  </w:footnote>
  <w:footnote w:id="3">
    <w:p w14:paraId="672231E7" w14:textId="75830B3B" w:rsidR="007D10E3" w:rsidRPr="00F635C4" w:rsidRDefault="007D10E3">
      <w:pPr>
        <w:pStyle w:val="Textonotapie"/>
        <w:rPr>
          <w:rFonts w:ascii="Arial" w:hAnsi="Arial" w:cs="Arial"/>
          <w:sz w:val="15"/>
          <w:szCs w:val="15"/>
          <w:lang w:val="en-US"/>
        </w:rPr>
      </w:pPr>
      <w:r w:rsidRPr="00F635C4">
        <w:rPr>
          <w:rStyle w:val="Refdenotaalpie"/>
          <w:rFonts w:ascii="Arial" w:hAnsi="Arial" w:cs="Arial"/>
          <w:sz w:val="15"/>
          <w:szCs w:val="15"/>
        </w:rPr>
        <w:footnoteRef/>
      </w:r>
      <w:r w:rsidRPr="00F635C4">
        <w:rPr>
          <w:rFonts w:ascii="Arial" w:hAnsi="Arial" w:cs="Arial"/>
          <w:sz w:val="15"/>
          <w:szCs w:val="15"/>
          <w:lang w:val="en-US"/>
        </w:rPr>
        <w:t xml:space="preserve"> </w:t>
      </w:r>
      <w:r w:rsidRPr="00F635C4">
        <w:rPr>
          <w:rFonts w:ascii="Arial" w:eastAsia="Arial" w:hAnsi="Arial" w:cs="Arial"/>
          <w:bCs/>
          <w:sz w:val="15"/>
          <w:szCs w:val="15"/>
          <w:lang w:val="en-US"/>
        </w:rPr>
        <w:t>Art. 82, CP.</w:t>
      </w:r>
    </w:p>
  </w:footnote>
  <w:footnote w:id="4">
    <w:p w14:paraId="09E95E09" w14:textId="60678851" w:rsidR="007D10E3" w:rsidRPr="00F635C4" w:rsidRDefault="007D10E3">
      <w:pPr>
        <w:pStyle w:val="Textonotapie"/>
        <w:rPr>
          <w:rFonts w:ascii="Arial" w:hAnsi="Arial" w:cs="Arial"/>
          <w:sz w:val="15"/>
          <w:szCs w:val="15"/>
          <w:lang w:val="en-US"/>
        </w:rPr>
      </w:pPr>
      <w:r w:rsidRPr="00F635C4">
        <w:rPr>
          <w:rStyle w:val="Refdenotaalpie"/>
          <w:rFonts w:ascii="Arial" w:hAnsi="Arial" w:cs="Arial"/>
          <w:sz w:val="15"/>
          <w:szCs w:val="15"/>
        </w:rPr>
        <w:footnoteRef/>
      </w:r>
      <w:r w:rsidRPr="00F635C4">
        <w:rPr>
          <w:rFonts w:ascii="Arial" w:hAnsi="Arial" w:cs="Arial"/>
          <w:sz w:val="15"/>
          <w:szCs w:val="15"/>
          <w:lang w:val="en-US"/>
        </w:rPr>
        <w:t xml:space="preserve"> </w:t>
      </w:r>
      <w:r w:rsidRPr="00F635C4">
        <w:rPr>
          <w:rFonts w:ascii="Arial" w:eastAsia="Arial" w:hAnsi="Arial" w:cs="Arial"/>
          <w:bCs/>
          <w:sz w:val="15"/>
          <w:szCs w:val="15"/>
          <w:lang w:val="en-US"/>
        </w:rPr>
        <w:t>Art. 333, CP.</w:t>
      </w:r>
    </w:p>
  </w:footnote>
  <w:footnote w:id="5">
    <w:p w14:paraId="4EB8F144" w14:textId="05DE7C3B" w:rsidR="007D10E3" w:rsidRPr="00F635C4" w:rsidRDefault="007D10E3">
      <w:pPr>
        <w:pStyle w:val="Textonotapie"/>
        <w:rPr>
          <w:rFonts w:ascii="Arial" w:hAnsi="Arial" w:cs="Arial"/>
          <w:sz w:val="15"/>
          <w:szCs w:val="15"/>
          <w:lang w:val="en-US"/>
        </w:rPr>
      </w:pPr>
      <w:r w:rsidRPr="00F635C4">
        <w:rPr>
          <w:rStyle w:val="Refdenotaalpie"/>
          <w:rFonts w:ascii="Arial" w:hAnsi="Arial" w:cs="Arial"/>
          <w:sz w:val="15"/>
          <w:szCs w:val="15"/>
        </w:rPr>
        <w:footnoteRef/>
      </w:r>
      <w:r w:rsidRPr="00F635C4">
        <w:rPr>
          <w:rFonts w:ascii="Arial" w:hAnsi="Arial" w:cs="Arial"/>
          <w:sz w:val="15"/>
          <w:szCs w:val="15"/>
          <w:lang w:val="en-US"/>
        </w:rPr>
        <w:t xml:space="preserve"> </w:t>
      </w:r>
      <w:r w:rsidRPr="00F635C4">
        <w:rPr>
          <w:rFonts w:ascii="Arial" w:eastAsia="Arial" w:hAnsi="Arial" w:cs="Arial"/>
          <w:bCs/>
          <w:sz w:val="15"/>
          <w:szCs w:val="15"/>
          <w:lang w:val="en-US"/>
        </w:rPr>
        <w:t>Art. 338, CP.</w:t>
      </w:r>
    </w:p>
  </w:footnote>
  <w:footnote w:id="6">
    <w:p w14:paraId="5EF4FDB6" w14:textId="72B56E45" w:rsidR="007D10E3" w:rsidRPr="00F635C4" w:rsidRDefault="007D10E3">
      <w:pPr>
        <w:pStyle w:val="Textonotapie"/>
        <w:rPr>
          <w:rFonts w:ascii="Arial" w:hAnsi="Arial" w:cs="Arial"/>
          <w:sz w:val="15"/>
          <w:szCs w:val="15"/>
          <w:lang w:val="es-MX"/>
        </w:rPr>
      </w:pPr>
      <w:r w:rsidRPr="00F635C4">
        <w:rPr>
          <w:rStyle w:val="Refdenotaalpie"/>
          <w:rFonts w:ascii="Arial" w:hAnsi="Arial" w:cs="Arial"/>
          <w:sz w:val="15"/>
          <w:szCs w:val="15"/>
        </w:rPr>
        <w:footnoteRef/>
      </w:r>
      <w:r w:rsidRPr="00F635C4">
        <w:rPr>
          <w:rFonts w:ascii="Arial" w:hAnsi="Arial" w:cs="Arial"/>
          <w:sz w:val="15"/>
          <w:szCs w:val="15"/>
        </w:rPr>
        <w:t xml:space="preserve"> </w:t>
      </w:r>
      <w:r w:rsidRPr="00F635C4">
        <w:rPr>
          <w:rFonts w:ascii="Arial" w:eastAsia="Arial" w:hAnsi="Arial" w:cs="Arial"/>
          <w:sz w:val="15"/>
          <w:szCs w:val="15"/>
        </w:rPr>
        <w:t>Ley 388 de 1997 y Ley 2079 de 2021.</w:t>
      </w:r>
    </w:p>
  </w:footnote>
  <w:footnote w:id="7">
    <w:p w14:paraId="4F023444" w14:textId="47E02C74" w:rsidR="007D10E3" w:rsidRPr="00F635C4" w:rsidRDefault="007D10E3">
      <w:pPr>
        <w:pStyle w:val="Textonotapie"/>
        <w:rPr>
          <w:rFonts w:ascii="Arial" w:hAnsi="Arial" w:cs="Arial"/>
          <w:sz w:val="15"/>
          <w:szCs w:val="15"/>
          <w:lang w:val="es-MX"/>
        </w:rPr>
      </w:pPr>
      <w:r w:rsidRPr="00F635C4">
        <w:rPr>
          <w:rStyle w:val="Refdenotaalpie"/>
          <w:rFonts w:ascii="Arial" w:hAnsi="Arial" w:cs="Arial"/>
          <w:sz w:val="15"/>
          <w:szCs w:val="15"/>
        </w:rPr>
        <w:footnoteRef/>
      </w:r>
      <w:r w:rsidRPr="00F635C4">
        <w:rPr>
          <w:rFonts w:ascii="Arial" w:hAnsi="Arial" w:cs="Arial"/>
          <w:sz w:val="15"/>
          <w:szCs w:val="15"/>
        </w:rPr>
        <w:t xml:space="preserve"> </w:t>
      </w:r>
      <w:r w:rsidRPr="00F635C4">
        <w:rPr>
          <w:rFonts w:ascii="Arial" w:eastAsia="Arial" w:hAnsi="Arial" w:cs="Arial"/>
          <w:sz w:val="15"/>
          <w:szCs w:val="15"/>
        </w:rPr>
        <w:t>Ley 788 de 2002.</w:t>
      </w:r>
    </w:p>
  </w:footnote>
  <w:footnote w:id="8">
    <w:p w14:paraId="387B0EB2" w14:textId="0A6C1C38" w:rsidR="007D10E3" w:rsidRPr="00F635C4" w:rsidRDefault="007D10E3">
      <w:pPr>
        <w:pStyle w:val="Textonotapie"/>
        <w:rPr>
          <w:rFonts w:ascii="Arial" w:hAnsi="Arial" w:cs="Arial"/>
          <w:sz w:val="15"/>
          <w:szCs w:val="15"/>
          <w:lang w:val="es-MX"/>
        </w:rPr>
      </w:pPr>
      <w:r w:rsidRPr="00F635C4">
        <w:rPr>
          <w:rStyle w:val="Refdenotaalpie"/>
          <w:rFonts w:ascii="Arial" w:hAnsi="Arial" w:cs="Arial"/>
          <w:sz w:val="15"/>
          <w:szCs w:val="15"/>
        </w:rPr>
        <w:footnoteRef/>
      </w:r>
      <w:r w:rsidRPr="00F635C4">
        <w:rPr>
          <w:rFonts w:ascii="Arial" w:hAnsi="Arial" w:cs="Arial"/>
          <w:sz w:val="15"/>
          <w:szCs w:val="15"/>
        </w:rPr>
        <w:t xml:space="preserve"> </w:t>
      </w:r>
      <w:r w:rsidRPr="00F635C4">
        <w:rPr>
          <w:rFonts w:ascii="Arial" w:eastAsia="Arial" w:hAnsi="Arial" w:cs="Arial"/>
          <w:sz w:val="15"/>
          <w:szCs w:val="15"/>
        </w:rPr>
        <w:t>Ley 1386 de 2010.</w:t>
      </w:r>
    </w:p>
  </w:footnote>
  <w:footnote w:id="9">
    <w:p w14:paraId="5C93DDAB" w14:textId="3A1714A0" w:rsidR="007D10E3" w:rsidRPr="00F635C4" w:rsidRDefault="007D10E3">
      <w:pPr>
        <w:pStyle w:val="Textonotapie"/>
        <w:rPr>
          <w:rFonts w:ascii="Arial" w:hAnsi="Arial" w:cs="Arial"/>
          <w:sz w:val="15"/>
          <w:szCs w:val="15"/>
          <w:lang w:val="es-MX"/>
        </w:rPr>
      </w:pPr>
      <w:r w:rsidRPr="00F635C4">
        <w:rPr>
          <w:rStyle w:val="Refdenotaalpie"/>
          <w:rFonts w:ascii="Arial" w:hAnsi="Arial" w:cs="Arial"/>
          <w:sz w:val="15"/>
          <w:szCs w:val="15"/>
        </w:rPr>
        <w:footnoteRef/>
      </w:r>
      <w:r w:rsidRPr="00F635C4">
        <w:rPr>
          <w:rFonts w:ascii="Arial" w:hAnsi="Arial" w:cs="Arial"/>
          <w:sz w:val="15"/>
          <w:szCs w:val="15"/>
        </w:rPr>
        <w:t xml:space="preserve"> </w:t>
      </w:r>
      <w:r w:rsidRPr="00F635C4">
        <w:rPr>
          <w:rFonts w:ascii="Arial" w:hAnsi="Arial" w:cs="Arial"/>
          <w:sz w:val="15"/>
          <w:szCs w:val="15"/>
          <w:lang w:val="es-MX"/>
        </w:rPr>
        <w:t>Artículo 164, Acuerdo Distrital 927 de 2024.</w:t>
      </w:r>
    </w:p>
  </w:footnote>
  <w:footnote w:id="10">
    <w:p w14:paraId="524D0722" w14:textId="2942671B" w:rsidR="007D10E3" w:rsidRPr="00F635C4" w:rsidRDefault="007D10E3">
      <w:pPr>
        <w:pStyle w:val="Textonotapie"/>
        <w:rPr>
          <w:rFonts w:ascii="Arial" w:hAnsi="Arial" w:cs="Arial"/>
          <w:sz w:val="15"/>
          <w:szCs w:val="15"/>
          <w:lang w:val="es-MX"/>
        </w:rPr>
      </w:pPr>
      <w:r w:rsidRPr="00F635C4">
        <w:rPr>
          <w:rStyle w:val="Refdenotaalpie"/>
          <w:rFonts w:ascii="Arial" w:hAnsi="Arial" w:cs="Arial"/>
          <w:sz w:val="15"/>
          <w:szCs w:val="15"/>
        </w:rPr>
        <w:footnoteRef/>
      </w:r>
      <w:r w:rsidRPr="00F635C4">
        <w:rPr>
          <w:rFonts w:ascii="Arial" w:hAnsi="Arial" w:cs="Arial"/>
          <w:sz w:val="15"/>
          <w:szCs w:val="15"/>
        </w:rPr>
        <w:t xml:space="preserve"> </w:t>
      </w:r>
      <w:r w:rsidRPr="00F635C4">
        <w:rPr>
          <w:rFonts w:ascii="Arial" w:eastAsia="Arial" w:hAnsi="Arial" w:cs="Arial"/>
          <w:bCs/>
          <w:sz w:val="15"/>
          <w:szCs w:val="15"/>
          <w:highlight w:val="white"/>
        </w:rPr>
        <w:t>Artículo 166</w:t>
      </w:r>
      <w:r w:rsidRPr="00F635C4">
        <w:rPr>
          <w:rFonts w:ascii="Arial" w:eastAsia="Arial" w:hAnsi="Arial" w:cs="Arial"/>
          <w:bCs/>
          <w:sz w:val="15"/>
          <w:szCs w:val="15"/>
        </w:rPr>
        <w:t>, Acuerdo Distrital 927 de 2024.</w:t>
      </w:r>
    </w:p>
  </w:footnote>
  <w:footnote w:id="11">
    <w:p w14:paraId="52907C81" w14:textId="3E2921FA" w:rsidR="007D10E3" w:rsidRPr="00F635C4" w:rsidRDefault="007D10E3">
      <w:pPr>
        <w:pStyle w:val="Textonotapie"/>
        <w:rPr>
          <w:rFonts w:ascii="Arial" w:hAnsi="Arial" w:cs="Arial"/>
          <w:sz w:val="15"/>
          <w:szCs w:val="15"/>
          <w:lang w:val="es-MX"/>
        </w:rPr>
      </w:pPr>
      <w:r w:rsidRPr="00F635C4">
        <w:rPr>
          <w:rStyle w:val="Refdenotaalpie"/>
          <w:rFonts w:ascii="Arial" w:hAnsi="Arial" w:cs="Arial"/>
          <w:sz w:val="15"/>
          <w:szCs w:val="15"/>
        </w:rPr>
        <w:footnoteRef/>
      </w:r>
      <w:r w:rsidRPr="00F635C4">
        <w:rPr>
          <w:rFonts w:ascii="Arial" w:hAnsi="Arial" w:cs="Arial"/>
          <w:sz w:val="15"/>
          <w:szCs w:val="15"/>
        </w:rPr>
        <w:t xml:space="preserve"> </w:t>
      </w:r>
      <w:r w:rsidRPr="00F635C4">
        <w:rPr>
          <w:rFonts w:ascii="Arial" w:hAnsi="Arial" w:cs="Arial"/>
          <w:sz w:val="15"/>
          <w:szCs w:val="15"/>
          <w:lang w:val="es-MX"/>
        </w:rPr>
        <w:t>Artículo 230, Acuerdo Distrital 927 de 2024.</w:t>
      </w:r>
    </w:p>
  </w:footnote>
  <w:footnote w:id="12">
    <w:p w14:paraId="03E1E142" w14:textId="6013BBB9" w:rsidR="00AD01FC" w:rsidRPr="00F635C4" w:rsidRDefault="00AD01FC">
      <w:pPr>
        <w:pStyle w:val="Textonotapie"/>
        <w:rPr>
          <w:rFonts w:ascii="Arial" w:hAnsi="Arial" w:cs="Arial"/>
          <w:sz w:val="15"/>
          <w:szCs w:val="15"/>
          <w:lang w:val="en-US"/>
        </w:rPr>
      </w:pPr>
      <w:r w:rsidRPr="00F635C4">
        <w:rPr>
          <w:rStyle w:val="Refdenotaalpie"/>
          <w:rFonts w:ascii="Arial" w:hAnsi="Arial" w:cs="Arial"/>
          <w:sz w:val="15"/>
          <w:szCs w:val="15"/>
        </w:rPr>
        <w:footnoteRef/>
      </w:r>
      <w:r w:rsidRPr="00F635C4">
        <w:rPr>
          <w:rFonts w:ascii="Arial" w:hAnsi="Arial" w:cs="Arial"/>
          <w:sz w:val="15"/>
          <w:szCs w:val="15"/>
          <w:lang w:val="en-US"/>
        </w:rPr>
        <w:t xml:space="preserve"> NAU 107.</w:t>
      </w:r>
    </w:p>
  </w:footnote>
  <w:footnote w:id="13">
    <w:p w14:paraId="313ED9F1" w14:textId="45F3F875" w:rsidR="00F635C4" w:rsidRPr="00F635C4" w:rsidRDefault="00F635C4">
      <w:pPr>
        <w:pStyle w:val="Textonotapie"/>
        <w:rPr>
          <w:rFonts w:ascii="Arial" w:hAnsi="Arial" w:cs="Arial"/>
          <w:sz w:val="15"/>
          <w:szCs w:val="15"/>
          <w:lang w:val="es-ES_tradnl"/>
        </w:rPr>
      </w:pPr>
      <w:r w:rsidRPr="00F635C4">
        <w:rPr>
          <w:rStyle w:val="Refdenotaalpie"/>
          <w:rFonts w:ascii="Arial" w:hAnsi="Arial" w:cs="Arial"/>
          <w:sz w:val="15"/>
          <w:szCs w:val="15"/>
        </w:rPr>
        <w:footnoteRef/>
      </w:r>
      <w:r w:rsidRPr="00F635C4">
        <w:rPr>
          <w:rFonts w:ascii="Arial" w:hAnsi="Arial" w:cs="Arial"/>
          <w:sz w:val="15"/>
          <w:szCs w:val="15"/>
        </w:rPr>
        <w:t xml:space="preserve"> </w:t>
      </w:r>
      <w:r w:rsidRPr="00F635C4">
        <w:rPr>
          <w:rFonts w:ascii="Arial" w:hAnsi="Arial" w:cs="Arial"/>
          <w:sz w:val="15"/>
          <w:szCs w:val="15"/>
          <w:lang w:val="es-ES_tradnl"/>
        </w:rPr>
        <w:t xml:space="preserve">Información disponible en: </w:t>
      </w:r>
      <w:hyperlink r:id="rId1" w:history="1">
        <w:r w:rsidRPr="00F635C4">
          <w:rPr>
            <w:rStyle w:val="Hipervnculo"/>
            <w:rFonts w:ascii="Arial" w:eastAsia="Arial" w:hAnsi="Arial" w:cs="Arial"/>
            <w:iCs/>
            <w:sz w:val="15"/>
            <w:szCs w:val="15"/>
          </w:rPr>
          <w:t>https://www.un.org/sustainabledevelopment/es/cities/</w:t>
        </w:r>
      </w:hyperlink>
      <w:r w:rsidRPr="00F635C4">
        <w:rPr>
          <w:rFonts w:ascii="Arial" w:eastAsia="Arial" w:hAnsi="Arial" w:cs="Arial"/>
          <w:iCs/>
          <w:color w:val="000000"/>
          <w:sz w:val="15"/>
          <w:szCs w:val="15"/>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5A345" w14:textId="77777777" w:rsidR="009923A9" w:rsidRDefault="009923A9">
    <w:pPr>
      <w:widowControl w:val="0"/>
      <w:pBdr>
        <w:top w:val="nil"/>
        <w:left w:val="nil"/>
        <w:bottom w:val="nil"/>
        <w:right w:val="nil"/>
        <w:between w:val="nil"/>
      </w:pBdr>
      <w:spacing w:line="276" w:lineRule="auto"/>
      <w:rPr>
        <w:rFonts w:ascii="Arial" w:eastAsia="Arial" w:hAnsi="Arial" w:cs="Arial"/>
        <w:b/>
        <w:sz w:val="22"/>
        <w:szCs w:val="22"/>
      </w:rPr>
    </w:pPr>
  </w:p>
  <w:tbl>
    <w:tblPr>
      <w:tblStyle w:val="ac"/>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755"/>
    </w:tblGrid>
    <w:tr w:rsidR="009923A9" w14:paraId="62313E20" w14:textId="77777777">
      <w:trPr>
        <w:trHeight w:val="454"/>
      </w:trPr>
      <w:tc>
        <w:tcPr>
          <w:tcW w:w="2361"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50585E1" w14:textId="77777777" w:rsidR="009923A9" w:rsidRDefault="009923A9">
          <w:pPr>
            <w:jc w:val="center"/>
            <w:rPr>
              <w:sz w:val="16"/>
              <w:szCs w:val="16"/>
            </w:rPr>
          </w:pPr>
          <w:r>
            <w:rPr>
              <w:noProof/>
              <w:sz w:val="16"/>
              <w:szCs w:val="16"/>
            </w:rPr>
            <w:drawing>
              <wp:inline distT="0" distB="0" distL="0" distR="0" wp14:anchorId="119978B5" wp14:editId="47B876EB">
                <wp:extent cx="749935" cy="883920"/>
                <wp:effectExtent l="0" t="0" r="0" b="0"/>
                <wp:docPr id="110257138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749935" cy="883920"/>
                        </a:xfrm>
                        <a:prstGeom prst="rect">
                          <a:avLst/>
                        </a:prstGeom>
                        <a:ln/>
                      </pic:spPr>
                    </pic:pic>
                  </a:graphicData>
                </a:graphic>
              </wp:inline>
            </w:drawing>
          </w:r>
        </w:p>
      </w:tc>
      <w:tc>
        <w:tcPr>
          <w:tcW w:w="42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FEDCD4C" w14:textId="77777777" w:rsidR="009923A9" w:rsidRDefault="009923A9">
          <w:pPr>
            <w:jc w:val="center"/>
            <w:rPr>
              <w:sz w:val="18"/>
              <w:szCs w:val="18"/>
            </w:rPr>
          </w:pPr>
          <w:r>
            <w:rPr>
              <w:sz w:val="18"/>
              <w:szCs w:val="18"/>
            </w:rPr>
            <w:t>PROCESO GESTIÓN NORMATIVA</w:t>
          </w:r>
        </w:p>
      </w:tc>
      <w:tc>
        <w:tcPr>
          <w:tcW w:w="27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0E9BE2B" w14:textId="2E943BDC" w:rsidR="009923A9" w:rsidRDefault="009923A9">
          <w:pPr>
            <w:rPr>
              <w:sz w:val="16"/>
              <w:szCs w:val="16"/>
            </w:rPr>
          </w:pPr>
          <w:r>
            <w:rPr>
              <w:sz w:val="16"/>
              <w:szCs w:val="16"/>
            </w:rPr>
            <w:t>CÓDIGO</w:t>
          </w:r>
          <w:r>
            <w:rPr>
              <w:color w:val="3366FF"/>
              <w:sz w:val="16"/>
              <w:szCs w:val="16"/>
            </w:rPr>
            <w:t xml:space="preserve">: </w:t>
          </w:r>
          <w:r>
            <w:rPr>
              <w:sz w:val="16"/>
              <w:szCs w:val="16"/>
            </w:rPr>
            <w:t>GNV-FO-00</w:t>
          </w:r>
          <w:r w:rsidR="003905F5">
            <w:rPr>
              <w:sz w:val="16"/>
              <w:szCs w:val="16"/>
            </w:rPr>
            <w:t>2</w:t>
          </w:r>
        </w:p>
      </w:tc>
    </w:tr>
    <w:tr w:rsidR="009923A9" w14:paraId="6E053CD5" w14:textId="77777777">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4EE8" w14:textId="77777777" w:rsidR="009923A9" w:rsidRDefault="009923A9">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9C4E8BB" w14:textId="73F6CCBE" w:rsidR="003905F5" w:rsidRDefault="009923A9" w:rsidP="003905F5">
          <w:pPr>
            <w:jc w:val="center"/>
            <w:rPr>
              <w:sz w:val="20"/>
              <w:szCs w:val="20"/>
            </w:rPr>
          </w:pPr>
          <w:r>
            <w:rPr>
              <w:sz w:val="20"/>
              <w:szCs w:val="20"/>
            </w:rPr>
            <w:t xml:space="preserve">PRESENTACIÓN </w:t>
          </w:r>
          <w:r w:rsidR="003905F5">
            <w:rPr>
              <w:sz w:val="20"/>
              <w:szCs w:val="20"/>
            </w:rPr>
            <w:t>PONENCIAS</w:t>
          </w:r>
        </w:p>
      </w:tc>
      <w:tc>
        <w:tcPr>
          <w:tcW w:w="27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2212E98" w14:textId="4A231FEC" w:rsidR="009923A9" w:rsidRDefault="009923A9">
          <w:pPr>
            <w:rPr>
              <w:sz w:val="16"/>
              <w:szCs w:val="16"/>
            </w:rPr>
          </w:pPr>
          <w:r>
            <w:rPr>
              <w:sz w:val="16"/>
              <w:szCs w:val="16"/>
            </w:rPr>
            <w:t>VERSIÓN:    0</w:t>
          </w:r>
          <w:r w:rsidR="003905F5">
            <w:rPr>
              <w:sz w:val="16"/>
              <w:szCs w:val="16"/>
            </w:rPr>
            <w:t>1</w:t>
          </w:r>
        </w:p>
      </w:tc>
    </w:tr>
    <w:tr w:rsidR="009923A9" w14:paraId="5A30F7CB" w14:textId="77777777">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9FB9962" w14:textId="77777777" w:rsidR="009923A9" w:rsidRDefault="009923A9">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43834EC" w14:textId="77777777" w:rsidR="009923A9" w:rsidRDefault="009923A9">
          <w:pPr>
            <w:widowControl w:val="0"/>
            <w:pBdr>
              <w:top w:val="nil"/>
              <w:left w:val="nil"/>
              <w:bottom w:val="nil"/>
              <w:right w:val="nil"/>
              <w:between w:val="nil"/>
            </w:pBdr>
            <w:spacing w:line="276" w:lineRule="auto"/>
            <w:rPr>
              <w:sz w:val="16"/>
              <w:szCs w:val="16"/>
            </w:rPr>
          </w:pPr>
        </w:p>
      </w:tc>
      <w:tc>
        <w:tcPr>
          <w:tcW w:w="27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B52FFED" w14:textId="77777777" w:rsidR="009923A9" w:rsidRDefault="009923A9">
          <w:pPr>
            <w:rPr>
              <w:sz w:val="16"/>
              <w:szCs w:val="16"/>
            </w:rPr>
          </w:pPr>
          <w:r>
            <w:rPr>
              <w:sz w:val="16"/>
              <w:szCs w:val="16"/>
            </w:rPr>
            <w:t>FECHA: 14-Nov-2019</w:t>
          </w:r>
        </w:p>
      </w:tc>
    </w:tr>
  </w:tbl>
  <w:p w14:paraId="239F18A4" w14:textId="77777777" w:rsidR="009923A9" w:rsidRDefault="009923A9">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E309B" w14:textId="77777777" w:rsidR="009923A9" w:rsidRDefault="009923A9">
    <w:pPr>
      <w:pBdr>
        <w:top w:val="nil"/>
        <w:left w:val="nil"/>
        <w:bottom w:val="nil"/>
        <w:right w:val="nil"/>
        <w:between w:val="nil"/>
      </w:pBdr>
      <w:tabs>
        <w:tab w:val="center" w:pos="4419"/>
        <w:tab w:val="right" w:pos="88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141C1" w14:textId="77777777" w:rsidR="009923A9" w:rsidRDefault="009923A9">
    <w:pPr>
      <w:widowControl w:val="0"/>
      <w:pBdr>
        <w:top w:val="none" w:sz="0" w:space="0" w:color="000000"/>
        <w:left w:val="none" w:sz="0" w:space="0" w:color="000000"/>
        <w:bottom w:val="none" w:sz="0" w:space="0" w:color="000000"/>
        <w:right w:val="none" w:sz="0" w:space="0" w:color="000000"/>
        <w:between w:val="none" w:sz="0" w:space="0" w:color="000000"/>
      </w:pBdr>
      <w:rPr>
        <w:rFonts w:ascii="Bookman Old Style" w:eastAsia="Bookman Old Style" w:hAnsi="Bookman Old Style" w:cs="Bookman Old Style"/>
        <w:sz w:val="20"/>
        <w:szCs w:val="20"/>
      </w:rPr>
    </w:pPr>
  </w:p>
  <w:tbl>
    <w:tblPr>
      <w:tblStyle w:val="ad"/>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234"/>
    </w:tblGrid>
    <w:tr w:rsidR="009923A9" w14:paraId="46FD0802" w14:textId="77777777">
      <w:trPr>
        <w:trHeight w:val="454"/>
      </w:trPr>
      <w:tc>
        <w:tcPr>
          <w:tcW w:w="2361"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1F479BB" w14:textId="77777777" w:rsidR="009923A9" w:rsidRDefault="009923A9">
          <w:pPr>
            <w:jc w:val="center"/>
            <w:rPr>
              <w:sz w:val="16"/>
              <w:szCs w:val="16"/>
            </w:rPr>
          </w:pPr>
          <w:r>
            <w:rPr>
              <w:noProof/>
              <w:sz w:val="16"/>
              <w:szCs w:val="16"/>
            </w:rPr>
            <w:drawing>
              <wp:inline distT="0" distB="0" distL="0" distR="0" wp14:anchorId="0AB6F3EF" wp14:editId="27B8D425">
                <wp:extent cx="749935" cy="883920"/>
                <wp:effectExtent l="0" t="0" r="0" b="0"/>
                <wp:docPr id="198783708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749935" cy="883920"/>
                        </a:xfrm>
                        <a:prstGeom prst="rect">
                          <a:avLst/>
                        </a:prstGeom>
                        <a:ln/>
                      </pic:spPr>
                    </pic:pic>
                  </a:graphicData>
                </a:graphic>
              </wp:inline>
            </w:drawing>
          </w:r>
        </w:p>
      </w:tc>
      <w:tc>
        <w:tcPr>
          <w:tcW w:w="42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AEED500" w14:textId="77777777" w:rsidR="009923A9" w:rsidRDefault="009923A9">
          <w:pPr>
            <w:jc w:val="center"/>
            <w:rPr>
              <w:sz w:val="18"/>
              <w:szCs w:val="18"/>
            </w:rPr>
          </w:pPr>
          <w:r>
            <w:rPr>
              <w:sz w:val="18"/>
              <w:szCs w:val="18"/>
            </w:rPr>
            <w:t>PROCESO GESTIÓN NORMATIVA</w:t>
          </w:r>
        </w:p>
      </w:tc>
      <w:tc>
        <w:tcPr>
          <w:tcW w:w="22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76E2137" w14:textId="77777777" w:rsidR="009923A9" w:rsidRDefault="009923A9">
          <w:pPr>
            <w:rPr>
              <w:sz w:val="16"/>
              <w:szCs w:val="16"/>
            </w:rPr>
          </w:pPr>
          <w:r>
            <w:rPr>
              <w:sz w:val="16"/>
              <w:szCs w:val="16"/>
            </w:rPr>
            <w:t>CÓDIGO</w:t>
          </w:r>
          <w:r>
            <w:rPr>
              <w:color w:val="3366FF"/>
              <w:sz w:val="16"/>
              <w:szCs w:val="16"/>
            </w:rPr>
            <w:t xml:space="preserve">: </w:t>
          </w:r>
          <w:r>
            <w:rPr>
              <w:sz w:val="16"/>
              <w:szCs w:val="16"/>
            </w:rPr>
            <w:t>GNV-FO-001</w:t>
          </w:r>
        </w:p>
      </w:tc>
    </w:tr>
    <w:tr w:rsidR="009923A9" w14:paraId="2E28AFCA" w14:textId="77777777">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4290413" w14:textId="77777777" w:rsidR="009923A9" w:rsidRDefault="009923A9">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48E3474" w14:textId="77777777" w:rsidR="009923A9" w:rsidRDefault="009923A9">
          <w:pPr>
            <w:jc w:val="center"/>
            <w:rPr>
              <w:sz w:val="20"/>
              <w:szCs w:val="20"/>
            </w:rPr>
          </w:pPr>
          <w:r>
            <w:rPr>
              <w:sz w:val="20"/>
              <w:szCs w:val="20"/>
            </w:rPr>
            <w:t>PRESENTACIÓN PROYECTOS DE ACUERDO</w:t>
          </w:r>
        </w:p>
      </w:tc>
      <w:tc>
        <w:tcPr>
          <w:tcW w:w="22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E7F212E" w14:textId="77777777" w:rsidR="009923A9" w:rsidRDefault="009923A9">
          <w:pPr>
            <w:rPr>
              <w:sz w:val="16"/>
              <w:szCs w:val="16"/>
            </w:rPr>
          </w:pPr>
          <w:r>
            <w:rPr>
              <w:sz w:val="16"/>
              <w:szCs w:val="16"/>
            </w:rPr>
            <w:t>VERSIÓN:    02</w:t>
          </w:r>
        </w:p>
      </w:tc>
    </w:tr>
    <w:tr w:rsidR="009923A9" w14:paraId="128712E2" w14:textId="77777777">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9EC9632" w14:textId="77777777" w:rsidR="009923A9" w:rsidRDefault="009923A9">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44AF6BF" w14:textId="77777777" w:rsidR="009923A9" w:rsidRDefault="009923A9">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AE8DD85" w14:textId="77777777" w:rsidR="009923A9" w:rsidRDefault="009923A9">
          <w:pPr>
            <w:rPr>
              <w:sz w:val="16"/>
              <w:szCs w:val="16"/>
            </w:rPr>
          </w:pPr>
          <w:r>
            <w:rPr>
              <w:sz w:val="16"/>
              <w:szCs w:val="16"/>
            </w:rPr>
            <w:t>FECHA: 14-Nov-2019</w:t>
          </w:r>
        </w:p>
      </w:tc>
    </w:tr>
  </w:tbl>
  <w:p w14:paraId="62EC1A3A" w14:textId="77777777" w:rsidR="009923A9" w:rsidRDefault="009923A9">
    <w:pPr>
      <w:pBdr>
        <w:top w:val="none" w:sz="0" w:space="0" w:color="000000"/>
        <w:left w:val="none" w:sz="0" w:space="0" w:color="000000"/>
        <w:bottom w:val="none" w:sz="0" w:space="0" w:color="000000"/>
        <w:right w:val="none" w:sz="0" w:space="0" w:color="000000"/>
        <w:between w:val="none" w:sz="0" w:space="0" w:color="000000"/>
      </w:pBd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73F8"/>
    <w:multiLevelType w:val="multilevel"/>
    <w:tmpl w:val="9C3AE49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Suez One" w:eastAsia="Suez One" w:hAnsi="Suez One" w:cs="Suez One"/>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36D4F8F"/>
    <w:multiLevelType w:val="multilevel"/>
    <w:tmpl w:val="C938DC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B707DF"/>
    <w:multiLevelType w:val="multilevel"/>
    <w:tmpl w:val="35186C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0894614"/>
    <w:multiLevelType w:val="multilevel"/>
    <w:tmpl w:val="6868EA6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43544128"/>
    <w:multiLevelType w:val="hybridMultilevel"/>
    <w:tmpl w:val="C32C1CA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7AF5836"/>
    <w:multiLevelType w:val="hybridMultilevel"/>
    <w:tmpl w:val="B37E608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30C3426"/>
    <w:multiLevelType w:val="multilevel"/>
    <w:tmpl w:val="85C8EF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BE1090F"/>
    <w:multiLevelType w:val="multilevel"/>
    <w:tmpl w:val="80326B24"/>
    <w:lvl w:ilvl="0">
      <w:start w:val="1"/>
      <w:numFmt w:val="decimal"/>
      <w:lvlText w:val="%1."/>
      <w:lvlJc w:val="left"/>
      <w:pPr>
        <w:ind w:left="720" w:hanging="360"/>
      </w:pPr>
      <w:rPr>
        <w:rFonts w:ascii="Arial" w:eastAsia="Arial" w:hAnsi="Arial" w:cs="Arial"/>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CBD1052"/>
    <w:multiLevelType w:val="multilevel"/>
    <w:tmpl w:val="A96645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38E7FEC"/>
    <w:multiLevelType w:val="multilevel"/>
    <w:tmpl w:val="B670621E"/>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A7E22AB"/>
    <w:multiLevelType w:val="multilevel"/>
    <w:tmpl w:val="80081E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Suez One" w:eastAsia="Suez One" w:hAnsi="Suez One" w:cs="Suez One"/>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6F8F1CF5"/>
    <w:multiLevelType w:val="multilevel"/>
    <w:tmpl w:val="0F0CA45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800" w:hanging="72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16D40C5"/>
    <w:multiLevelType w:val="multilevel"/>
    <w:tmpl w:val="163A18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3CE09BC"/>
    <w:multiLevelType w:val="hybridMultilevel"/>
    <w:tmpl w:val="4178F3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C0A5323"/>
    <w:multiLevelType w:val="multilevel"/>
    <w:tmpl w:val="3440E2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Suez One" w:eastAsia="Suez One" w:hAnsi="Suez One" w:cs="Suez One"/>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7F5F35E6"/>
    <w:multiLevelType w:val="multilevel"/>
    <w:tmpl w:val="0840F3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2"/>
  </w:num>
  <w:num w:numId="2">
    <w:abstractNumId w:val="9"/>
  </w:num>
  <w:num w:numId="3">
    <w:abstractNumId w:val="7"/>
  </w:num>
  <w:num w:numId="4">
    <w:abstractNumId w:val="6"/>
  </w:num>
  <w:num w:numId="5">
    <w:abstractNumId w:val="2"/>
  </w:num>
  <w:num w:numId="6">
    <w:abstractNumId w:val="1"/>
  </w:num>
  <w:num w:numId="7">
    <w:abstractNumId w:val="0"/>
  </w:num>
  <w:num w:numId="8">
    <w:abstractNumId w:val="14"/>
  </w:num>
  <w:num w:numId="9">
    <w:abstractNumId w:val="10"/>
  </w:num>
  <w:num w:numId="10">
    <w:abstractNumId w:val="15"/>
  </w:num>
  <w:num w:numId="11">
    <w:abstractNumId w:val="3"/>
  </w:num>
  <w:num w:numId="12">
    <w:abstractNumId w:val="8"/>
  </w:num>
  <w:num w:numId="13">
    <w:abstractNumId w:val="11"/>
  </w:num>
  <w:num w:numId="14">
    <w:abstractNumId w:val="13"/>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73E"/>
    <w:rsid w:val="000079DA"/>
    <w:rsid w:val="000137A6"/>
    <w:rsid w:val="00015EA5"/>
    <w:rsid w:val="000F7165"/>
    <w:rsid w:val="00174080"/>
    <w:rsid w:val="0018473E"/>
    <w:rsid w:val="001D1616"/>
    <w:rsid w:val="002572BE"/>
    <w:rsid w:val="002574BA"/>
    <w:rsid w:val="00294037"/>
    <w:rsid w:val="002D1F22"/>
    <w:rsid w:val="002D72D4"/>
    <w:rsid w:val="00324460"/>
    <w:rsid w:val="00325251"/>
    <w:rsid w:val="00361DD4"/>
    <w:rsid w:val="003905F5"/>
    <w:rsid w:val="003907FE"/>
    <w:rsid w:val="00393F42"/>
    <w:rsid w:val="003A3D09"/>
    <w:rsid w:val="003B100C"/>
    <w:rsid w:val="003D5EE4"/>
    <w:rsid w:val="00410A1D"/>
    <w:rsid w:val="00447943"/>
    <w:rsid w:val="00486448"/>
    <w:rsid w:val="004F29BB"/>
    <w:rsid w:val="00500539"/>
    <w:rsid w:val="00515EBA"/>
    <w:rsid w:val="005310DD"/>
    <w:rsid w:val="00541B47"/>
    <w:rsid w:val="00614987"/>
    <w:rsid w:val="006248BE"/>
    <w:rsid w:val="00670AC5"/>
    <w:rsid w:val="00715097"/>
    <w:rsid w:val="007553E7"/>
    <w:rsid w:val="0078618E"/>
    <w:rsid w:val="007921D8"/>
    <w:rsid w:val="007D10E3"/>
    <w:rsid w:val="0080135C"/>
    <w:rsid w:val="00875485"/>
    <w:rsid w:val="008C3D7F"/>
    <w:rsid w:val="00913617"/>
    <w:rsid w:val="009923A9"/>
    <w:rsid w:val="00A30C0B"/>
    <w:rsid w:val="00A469B2"/>
    <w:rsid w:val="00A66DC7"/>
    <w:rsid w:val="00A86E4E"/>
    <w:rsid w:val="00A922C9"/>
    <w:rsid w:val="00AA223E"/>
    <w:rsid w:val="00AD01FC"/>
    <w:rsid w:val="00B14B97"/>
    <w:rsid w:val="00B42F83"/>
    <w:rsid w:val="00B90419"/>
    <w:rsid w:val="00BC24CA"/>
    <w:rsid w:val="00BD032B"/>
    <w:rsid w:val="00BE1EB9"/>
    <w:rsid w:val="00C34550"/>
    <w:rsid w:val="00C4716A"/>
    <w:rsid w:val="00C5159E"/>
    <w:rsid w:val="00C92C5E"/>
    <w:rsid w:val="00D26072"/>
    <w:rsid w:val="00D5772F"/>
    <w:rsid w:val="00DD085E"/>
    <w:rsid w:val="00E05C39"/>
    <w:rsid w:val="00E14F8D"/>
    <w:rsid w:val="00E16CCD"/>
    <w:rsid w:val="00E40B9B"/>
    <w:rsid w:val="00E67DFE"/>
    <w:rsid w:val="00E8714C"/>
    <w:rsid w:val="00F00517"/>
    <w:rsid w:val="00F17579"/>
    <w:rsid w:val="00F56812"/>
    <w:rsid w:val="00F635C4"/>
    <w:rsid w:val="00FC1BAD"/>
    <w:rsid w:val="00FE126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91543"/>
  <w15:docId w15:val="{39E857EE-B4C9-432D-AE13-5E98C0F5C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C24CA"/>
  </w:style>
  <w:style w:type="paragraph" w:styleId="Ttulo1">
    <w:name w:val="heading 1"/>
    <w:basedOn w:val="Normal"/>
    <w:next w:val="Normal"/>
    <w:pPr>
      <w:keepNext/>
      <w:keepLines/>
      <w:spacing w:before="400" w:after="120" w:line="276" w:lineRule="auto"/>
      <w:outlineLvl w:val="0"/>
    </w:pPr>
    <w:rPr>
      <w:rFonts w:ascii="Arial" w:eastAsia="Arial" w:hAnsi="Arial" w:cs="Arial"/>
      <w:sz w:val="40"/>
      <w:szCs w:val="40"/>
    </w:rPr>
  </w:style>
  <w:style w:type="paragraph" w:styleId="Ttulo2">
    <w:name w:val="heading 2"/>
    <w:basedOn w:val="Normal"/>
    <w:next w:val="Normal"/>
    <w:pPr>
      <w:keepNext/>
      <w:keepLines/>
      <w:spacing w:before="360" w:after="120" w:line="276" w:lineRule="auto"/>
      <w:outlineLvl w:val="1"/>
    </w:pPr>
    <w:rPr>
      <w:rFonts w:ascii="Arial" w:eastAsia="Arial" w:hAnsi="Arial" w:cs="Arial"/>
      <w:sz w:val="32"/>
      <w:szCs w:val="32"/>
    </w:rPr>
  </w:style>
  <w:style w:type="paragraph" w:styleId="Ttulo3">
    <w:name w:val="heading 3"/>
    <w:basedOn w:val="Normal"/>
    <w:next w:val="Normal"/>
    <w:pPr>
      <w:keepNext/>
      <w:keepLines/>
      <w:spacing w:before="320" w:after="80" w:line="276" w:lineRule="auto"/>
      <w:outlineLvl w:val="2"/>
    </w:pPr>
    <w:rPr>
      <w:rFonts w:ascii="Arial" w:eastAsia="Arial" w:hAnsi="Arial" w:cs="Arial"/>
      <w:color w:val="434343"/>
      <w:sz w:val="28"/>
      <w:szCs w:val="28"/>
    </w:rPr>
  </w:style>
  <w:style w:type="paragraph" w:styleId="Ttulo4">
    <w:name w:val="heading 4"/>
    <w:basedOn w:val="Normal"/>
    <w:next w:val="Normal"/>
    <w:pPr>
      <w:keepNext/>
      <w:keepLines/>
      <w:spacing w:before="280" w:after="80" w:line="276" w:lineRule="auto"/>
      <w:outlineLvl w:val="3"/>
    </w:pPr>
    <w:rPr>
      <w:rFonts w:ascii="Arial" w:eastAsia="Arial" w:hAnsi="Arial" w:cs="Arial"/>
      <w:color w:val="666666"/>
    </w:rPr>
  </w:style>
  <w:style w:type="paragraph" w:styleId="Ttulo5">
    <w:name w:val="heading 5"/>
    <w:basedOn w:val="Normal"/>
    <w:next w:val="Normal"/>
    <w:pPr>
      <w:keepNext/>
      <w:keepLines/>
      <w:spacing w:before="240" w:after="80" w:line="276" w:lineRule="auto"/>
      <w:outlineLvl w:val="4"/>
    </w:pPr>
    <w:rPr>
      <w:rFonts w:ascii="Arial" w:eastAsia="Arial" w:hAnsi="Arial" w:cs="Arial"/>
      <w:color w:val="666666"/>
      <w:sz w:val="22"/>
      <w:szCs w:val="22"/>
    </w:rPr>
  </w:style>
  <w:style w:type="paragraph" w:styleId="Ttulo6">
    <w:name w:val="heading 6"/>
    <w:basedOn w:val="Normal"/>
    <w:next w:val="Normal"/>
    <w:pPr>
      <w:keepNext/>
      <w:keepLines/>
      <w:spacing w:before="240" w:after="80" w:line="276" w:lineRule="auto"/>
      <w:outlineLvl w:val="5"/>
    </w:pPr>
    <w:rPr>
      <w:rFonts w:ascii="Arial" w:eastAsia="Arial" w:hAnsi="Arial" w:cs="Arial"/>
      <w:i/>
      <w:color w:val="666666"/>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pPr>
      <w:keepNext/>
      <w:keepLines/>
      <w:spacing w:after="60" w:line="276" w:lineRule="auto"/>
    </w:pPr>
    <w:rPr>
      <w:rFonts w:ascii="Arial" w:eastAsia="Arial" w:hAnsi="Arial" w:cs="Arial"/>
      <w:sz w:val="52"/>
      <w:szCs w:val="5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unhideWhenUsed/>
    <w:rPr>
      <w:rFonts w:ascii="Arial" w:eastAsia="Arial" w:hAnsi="Arial" w:cs="Arial"/>
      <w:sz w:val="20"/>
      <w:szCs w:val="20"/>
      <w:lang w:val="en"/>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E22762"/>
    <w:rPr>
      <w:rFonts w:ascii="Segoe UI" w:eastAsia="Arial" w:hAnsi="Segoe UI" w:cs="Segoe UI"/>
      <w:sz w:val="18"/>
      <w:szCs w:val="18"/>
      <w:lang w:val="en"/>
    </w:rPr>
  </w:style>
  <w:style w:type="character" w:customStyle="1" w:styleId="TextodegloboCar">
    <w:name w:val="Texto de globo Car"/>
    <w:basedOn w:val="Fuentedeprrafopredeter"/>
    <w:link w:val="Textodeglobo"/>
    <w:uiPriority w:val="99"/>
    <w:semiHidden/>
    <w:rsid w:val="00E22762"/>
    <w:rPr>
      <w:rFonts w:ascii="Segoe UI" w:hAnsi="Segoe UI" w:cs="Segoe UI"/>
      <w:sz w:val="18"/>
      <w:szCs w:val="18"/>
    </w:rPr>
  </w:style>
  <w:style w:type="paragraph" w:styleId="Revisin">
    <w:name w:val="Revision"/>
    <w:hidden/>
    <w:uiPriority w:val="99"/>
    <w:semiHidden/>
    <w:rsid w:val="00D03F27"/>
  </w:style>
  <w:style w:type="paragraph" w:styleId="NormalWeb">
    <w:name w:val="Normal (Web)"/>
    <w:basedOn w:val="Normal"/>
    <w:uiPriority w:val="99"/>
    <w:unhideWhenUsed/>
    <w:rsid w:val="00D03F27"/>
    <w:pPr>
      <w:spacing w:before="100" w:beforeAutospacing="1" w:after="100" w:afterAutospacing="1"/>
    </w:pPr>
  </w:style>
  <w:style w:type="paragraph" w:styleId="Prrafodelista">
    <w:name w:val="List Paragraph"/>
    <w:aliases w:val="Ha,Resume Title,LISTA,List1,Bullet List,FooterText,numbered,List Paragraph1,Paragraphe de liste1,lp1,HOJA,Colorful List Accent 1,Colorful List - Accent 11,titulo 3,Colorful List - Accent 111,Bullets,Párrafo de lista2"/>
    <w:basedOn w:val="Normal"/>
    <w:link w:val="PrrafodelistaCar"/>
    <w:uiPriority w:val="34"/>
    <w:qFormat/>
    <w:rsid w:val="00C60140"/>
    <w:pPr>
      <w:ind w:left="720"/>
      <w:contextualSpacing/>
    </w:pPr>
  </w:style>
  <w:style w:type="paragraph" w:customStyle="1" w:styleId="whitespace-pre-wrap">
    <w:name w:val="whitespace-pre-wrap"/>
    <w:basedOn w:val="Normal"/>
    <w:rsid w:val="00AB3C1C"/>
    <w:pPr>
      <w:spacing w:before="100" w:beforeAutospacing="1" w:after="100" w:afterAutospacing="1"/>
    </w:pPr>
  </w:style>
  <w:style w:type="character" w:styleId="Textoennegrita">
    <w:name w:val="Strong"/>
    <w:basedOn w:val="Fuentedeprrafopredeter"/>
    <w:uiPriority w:val="22"/>
    <w:qFormat/>
    <w:rsid w:val="00AB3C1C"/>
    <w:rPr>
      <w:b/>
      <w:bCs/>
    </w:rPr>
  </w:style>
  <w:style w:type="table" w:customStyle="1" w:styleId="a1">
    <w:basedOn w:val="TableNormal2"/>
    <w:tblPr>
      <w:tblStyleRowBandSize w:val="1"/>
      <w:tblStyleColBandSize w:val="1"/>
      <w:tblCellMar>
        <w:left w:w="70" w:type="dxa"/>
        <w:right w:w="70" w:type="dxa"/>
      </w:tblCellMar>
    </w:tblPr>
  </w:style>
  <w:style w:type="table" w:styleId="Cuadrculadetablaclara">
    <w:name w:val="Grid Table Light"/>
    <w:basedOn w:val="Tablanormal"/>
    <w:uiPriority w:val="40"/>
    <w:rsid w:val="00513B12"/>
    <w:pPr>
      <w:jc w:val="both"/>
    </w:pPr>
    <w:rPr>
      <w:rFonts w:ascii="Arial" w:eastAsia="Arial" w:hAnsi="Arial" w:cs="Arial"/>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inespaciado">
    <w:name w:val="No Spacing"/>
    <w:uiPriority w:val="1"/>
    <w:qFormat/>
    <w:rsid w:val="00A53893"/>
    <w:pPr>
      <w:jc w:val="both"/>
    </w:pPr>
    <w:rPr>
      <w:rFonts w:ascii="Arial" w:eastAsia="Arial" w:hAnsi="Arial" w:cs="Arial"/>
      <w:sz w:val="22"/>
      <w:szCs w:val="22"/>
    </w:rPr>
  </w:style>
  <w:style w:type="table" w:styleId="Tablaconcuadrcula">
    <w:name w:val="Table Grid"/>
    <w:basedOn w:val="Tablanormal"/>
    <w:uiPriority w:val="39"/>
    <w:rsid w:val="007F5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9C2BB1"/>
  </w:style>
  <w:style w:type="character" w:styleId="Hipervnculo">
    <w:name w:val="Hyperlink"/>
    <w:basedOn w:val="Fuentedeprrafopredeter"/>
    <w:uiPriority w:val="99"/>
    <w:unhideWhenUsed/>
    <w:rsid w:val="00EC2526"/>
    <w:rPr>
      <w:color w:val="0000FF" w:themeColor="hyperlink"/>
      <w:u w:val="single"/>
    </w:rPr>
  </w:style>
  <w:style w:type="character" w:customStyle="1" w:styleId="Mencinsinresolver1">
    <w:name w:val="Mención sin resolver1"/>
    <w:basedOn w:val="Fuentedeprrafopredeter"/>
    <w:uiPriority w:val="99"/>
    <w:semiHidden/>
    <w:unhideWhenUsed/>
    <w:rsid w:val="00EC2526"/>
    <w:rPr>
      <w:color w:val="605E5C"/>
      <w:shd w:val="clear" w:color="auto" w:fill="E1DFDD"/>
    </w:rPr>
  </w:style>
  <w:style w:type="paragraph" w:styleId="Encabezado">
    <w:name w:val="header"/>
    <w:basedOn w:val="Normal"/>
    <w:link w:val="EncabezadoCar"/>
    <w:uiPriority w:val="99"/>
    <w:unhideWhenUsed/>
    <w:rsid w:val="00D910A7"/>
    <w:pPr>
      <w:tabs>
        <w:tab w:val="center" w:pos="4419"/>
        <w:tab w:val="right" w:pos="8838"/>
      </w:tabs>
    </w:pPr>
  </w:style>
  <w:style w:type="character" w:customStyle="1" w:styleId="EncabezadoCar">
    <w:name w:val="Encabezado Car"/>
    <w:basedOn w:val="Fuentedeprrafopredeter"/>
    <w:link w:val="Encabezado"/>
    <w:uiPriority w:val="99"/>
    <w:rsid w:val="00D910A7"/>
  </w:style>
  <w:style w:type="paragraph" w:styleId="Piedepgina">
    <w:name w:val="footer"/>
    <w:basedOn w:val="Normal"/>
    <w:link w:val="PiedepginaCar"/>
    <w:uiPriority w:val="99"/>
    <w:unhideWhenUsed/>
    <w:rsid w:val="00D910A7"/>
    <w:pPr>
      <w:tabs>
        <w:tab w:val="center" w:pos="4419"/>
        <w:tab w:val="right" w:pos="8838"/>
      </w:tabs>
    </w:pPr>
  </w:style>
  <w:style w:type="character" w:customStyle="1" w:styleId="PiedepginaCar">
    <w:name w:val="Pie de página Car"/>
    <w:basedOn w:val="Fuentedeprrafopredeter"/>
    <w:link w:val="Piedepgina"/>
    <w:uiPriority w:val="99"/>
    <w:rsid w:val="00D910A7"/>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1113E7"/>
  </w:style>
  <w:style w:type="paragraph" w:customStyle="1" w:styleId="whitespace-normal">
    <w:name w:val="whitespace-normal"/>
    <w:basedOn w:val="Normal"/>
    <w:rsid w:val="00D360F0"/>
    <w:pPr>
      <w:spacing w:before="100" w:beforeAutospacing="1" w:after="100" w:afterAutospacing="1"/>
    </w:pPr>
  </w:style>
  <w:style w:type="character" w:styleId="nfasis">
    <w:name w:val="Emphasis"/>
    <w:basedOn w:val="Fuentedeprrafopredeter"/>
    <w:uiPriority w:val="20"/>
    <w:qFormat/>
    <w:rsid w:val="00A340D7"/>
    <w:rPr>
      <w:i/>
      <w:iCs/>
    </w:rPr>
  </w:style>
  <w:style w:type="character" w:customStyle="1" w:styleId="Mencinsinresolver2">
    <w:name w:val="Mención sin resolver2"/>
    <w:basedOn w:val="Fuentedeprrafopredeter"/>
    <w:uiPriority w:val="99"/>
    <w:semiHidden/>
    <w:unhideWhenUsed/>
    <w:rsid w:val="0099038B"/>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B31EDA"/>
    <w:rPr>
      <w:rFonts w:ascii="Times New Roman" w:eastAsia="Times New Roman" w:hAnsi="Times New Roman" w:cs="Times New Roman"/>
      <w:b/>
      <w:bCs/>
      <w:lang w:val="es-CO"/>
    </w:rPr>
  </w:style>
  <w:style w:type="character" w:customStyle="1" w:styleId="AsuntodelcomentarioCar">
    <w:name w:val="Asunto del comentario Car"/>
    <w:basedOn w:val="TextocomentarioCar"/>
    <w:link w:val="Asuntodelcomentario"/>
    <w:uiPriority w:val="99"/>
    <w:semiHidden/>
    <w:rsid w:val="00B31EDA"/>
    <w:rPr>
      <w:b/>
      <w:bCs/>
      <w:sz w:val="20"/>
      <w:szCs w:val="20"/>
    </w:rPr>
  </w:style>
  <w:style w:type="paragraph" w:customStyle="1" w:styleId="Default">
    <w:name w:val="Default"/>
    <w:rsid w:val="00530909"/>
    <w:pPr>
      <w:autoSpaceDE w:val="0"/>
      <w:autoSpaceDN w:val="0"/>
      <w:adjustRightInd w:val="0"/>
    </w:pPr>
    <w:rPr>
      <w:rFonts w:ascii="Arial" w:hAnsi="Arial" w:cs="Arial"/>
      <w:color w:val="000000"/>
    </w:rPr>
  </w:style>
  <w:style w:type="paragraph" w:styleId="Subttulo">
    <w:name w:val="Subtitle"/>
    <w:basedOn w:val="Normal"/>
    <w:next w:val="Normal"/>
    <w:pPr>
      <w:keepNext/>
      <w:keepLines/>
      <w:spacing w:after="320" w:line="276" w:lineRule="auto"/>
    </w:pPr>
    <w:rPr>
      <w:rFonts w:ascii="Arial" w:eastAsia="Arial" w:hAnsi="Arial" w:cs="Arial"/>
      <w:color w:val="666666"/>
      <w:sz w:val="30"/>
      <w:szCs w:val="30"/>
    </w:rPr>
  </w:style>
  <w:style w:type="table" w:customStyle="1" w:styleId="a2">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3">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4">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5">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6">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7">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top w:w="0" w:type="dxa"/>
        <w:left w:w="70" w:type="dxa"/>
        <w:bottom w:w="0" w:type="dxa"/>
        <w:right w:w="70" w:type="dxa"/>
      </w:tblCellMar>
    </w:tblPr>
  </w:style>
  <w:style w:type="paragraph" w:styleId="Textonotapie">
    <w:name w:val="footnote text"/>
    <w:basedOn w:val="Normal"/>
    <w:link w:val="TextonotapieCar"/>
    <w:uiPriority w:val="99"/>
    <w:semiHidden/>
    <w:unhideWhenUsed/>
    <w:rsid w:val="00614987"/>
    <w:rPr>
      <w:sz w:val="20"/>
      <w:szCs w:val="20"/>
    </w:rPr>
  </w:style>
  <w:style w:type="character" w:customStyle="1" w:styleId="TextonotapieCar">
    <w:name w:val="Texto nota pie Car"/>
    <w:basedOn w:val="Fuentedeprrafopredeter"/>
    <w:link w:val="Textonotapie"/>
    <w:uiPriority w:val="99"/>
    <w:semiHidden/>
    <w:rsid w:val="00614987"/>
    <w:rPr>
      <w:sz w:val="20"/>
      <w:szCs w:val="20"/>
    </w:rPr>
  </w:style>
  <w:style w:type="character" w:styleId="Refdenotaalpie">
    <w:name w:val="footnote reference"/>
    <w:basedOn w:val="Fuentedeprrafopredeter"/>
    <w:uiPriority w:val="99"/>
    <w:semiHidden/>
    <w:unhideWhenUsed/>
    <w:rsid w:val="00614987"/>
    <w:rPr>
      <w:vertAlign w:val="superscript"/>
    </w:rPr>
  </w:style>
  <w:style w:type="character" w:customStyle="1" w:styleId="UnresolvedMention">
    <w:name w:val="Unresolved Mention"/>
    <w:basedOn w:val="Fuentedeprrafopredeter"/>
    <w:uiPriority w:val="99"/>
    <w:semiHidden/>
    <w:unhideWhenUsed/>
    <w:rsid w:val="00E05C39"/>
    <w:rPr>
      <w:color w:val="605E5C"/>
      <w:shd w:val="clear" w:color="auto" w:fill="E1DFDD"/>
    </w:rPr>
  </w:style>
  <w:style w:type="character" w:styleId="Nmerodepgina">
    <w:name w:val="page number"/>
    <w:basedOn w:val="Fuentedeprrafopredeter"/>
    <w:uiPriority w:val="99"/>
    <w:semiHidden/>
    <w:unhideWhenUsed/>
    <w:rsid w:val="00755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814437">
      <w:bodyDiv w:val="1"/>
      <w:marLeft w:val="0"/>
      <w:marRight w:val="0"/>
      <w:marTop w:val="0"/>
      <w:marBottom w:val="0"/>
      <w:divBdr>
        <w:top w:val="none" w:sz="0" w:space="0" w:color="auto"/>
        <w:left w:val="none" w:sz="0" w:space="0" w:color="auto"/>
        <w:bottom w:val="none" w:sz="0" w:space="0" w:color="auto"/>
        <w:right w:val="none" w:sz="0" w:space="0" w:color="auto"/>
      </w:divBdr>
    </w:div>
    <w:div w:id="545216683">
      <w:bodyDiv w:val="1"/>
      <w:marLeft w:val="0"/>
      <w:marRight w:val="0"/>
      <w:marTop w:val="0"/>
      <w:marBottom w:val="0"/>
      <w:divBdr>
        <w:top w:val="none" w:sz="0" w:space="0" w:color="auto"/>
        <w:left w:val="none" w:sz="0" w:space="0" w:color="auto"/>
        <w:bottom w:val="none" w:sz="0" w:space="0" w:color="auto"/>
        <w:right w:val="none" w:sz="0" w:space="0" w:color="auto"/>
      </w:divBdr>
      <w:divsChild>
        <w:div w:id="231282694">
          <w:marLeft w:val="0"/>
          <w:marRight w:val="0"/>
          <w:marTop w:val="0"/>
          <w:marBottom w:val="0"/>
          <w:divBdr>
            <w:top w:val="none" w:sz="0" w:space="0" w:color="auto"/>
            <w:left w:val="none" w:sz="0" w:space="0" w:color="auto"/>
            <w:bottom w:val="none" w:sz="0" w:space="0" w:color="auto"/>
            <w:right w:val="none" w:sz="0" w:space="0" w:color="auto"/>
          </w:divBdr>
          <w:divsChild>
            <w:div w:id="365302145">
              <w:marLeft w:val="0"/>
              <w:marRight w:val="0"/>
              <w:marTop w:val="0"/>
              <w:marBottom w:val="0"/>
              <w:divBdr>
                <w:top w:val="none" w:sz="0" w:space="0" w:color="auto"/>
                <w:left w:val="none" w:sz="0" w:space="0" w:color="auto"/>
                <w:bottom w:val="none" w:sz="0" w:space="0" w:color="auto"/>
                <w:right w:val="none" w:sz="0" w:space="0" w:color="auto"/>
              </w:divBdr>
              <w:divsChild>
                <w:div w:id="1071348205">
                  <w:marLeft w:val="0"/>
                  <w:marRight w:val="0"/>
                  <w:marTop w:val="0"/>
                  <w:marBottom w:val="0"/>
                  <w:divBdr>
                    <w:top w:val="none" w:sz="0" w:space="0" w:color="auto"/>
                    <w:left w:val="none" w:sz="0" w:space="0" w:color="auto"/>
                    <w:bottom w:val="none" w:sz="0" w:space="0" w:color="auto"/>
                    <w:right w:val="none" w:sz="0" w:space="0" w:color="auto"/>
                  </w:divBdr>
                  <w:divsChild>
                    <w:div w:id="1704670423">
                      <w:marLeft w:val="0"/>
                      <w:marRight w:val="0"/>
                      <w:marTop w:val="0"/>
                      <w:marBottom w:val="0"/>
                      <w:divBdr>
                        <w:top w:val="none" w:sz="0" w:space="0" w:color="auto"/>
                        <w:left w:val="none" w:sz="0" w:space="0" w:color="auto"/>
                        <w:bottom w:val="none" w:sz="0" w:space="0" w:color="auto"/>
                        <w:right w:val="none" w:sz="0" w:space="0" w:color="auto"/>
                      </w:divBdr>
                      <w:divsChild>
                        <w:div w:id="1254245600">
                          <w:marLeft w:val="0"/>
                          <w:marRight w:val="0"/>
                          <w:marTop w:val="0"/>
                          <w:marBottom w:val="0"/>
                          <w:divBdr>
                            <w:top w:val="none" w:sz="0" w:space="0" w:color="auto"/>
                            <w:left w:val="none" w:sz="0" w:space="0" w:color="auto"/>
                            <w:bottom w:val="none" w:sz="0" w:space="0" w:color="auto"/>
                            <w:right w:val="none" w:sz="0" w:space="0" w:color="auto"/>
                          </w:divBdr>
                          <w:divsChild>
                            <w:div w:id="64424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8371191">
      <w:bodyDiv w:val="1"/>
      <w:marLeft w:val="0"/>
      <w:marRight w:val="0"/>
      <w:marTop w:val="0"/>
      <w:marBottom w:val="0"/>
      <w:divBdr>
        <w:top w:val="none" w:sz="0" w:space="0" w:color="auto"/>
        <w:left w:val="none" w:sz="0" w:space="0" w:color="auto"/>
        <w:bottom w:val="none" w:sz="0" w:space="0" w:color="auto"/>
        <w:right w:val="none" w:sz="0" w:space="0" w:color="auto"/>
      </w:divBdr>
    </w:div>
    <w:div w:id="855582912">
      <w:bodyDiv w:val="1"/>
      <w:marLeft w:val="0"/>
      <w:marRight w:val="0"/>
      <w:marTop w:val="0"/>
      <w:marBottom w:val="0"/>
      <w:divBdr>
        <w:top w:val="none" w:sz="0" w:space="0" w:color="auto"/>
        <w:left w:val="none" w:sz="0" w:space="0" w:color="auto"/>
        <w:bottom w:val="none" w:sz="0" w:space="0" w:color="auto"/>
        <w:right w:val="none" w:sz="0" w:space="0" w:color="auto"/>
      </w:divBdr>
    </w:div>
    <w:div w:id="869270360">
      <w:bodyDiv w:val="1"/>
      <w:marLeft w:val="0"/>
      <w:marRight w:val="0"/>
      <w:marTop w:val="0"/>
      <w:marBottom w:val="0"/>
      <w:divBdr>
        <w:top w:val="none" w:sz="0" w:space="0" w:color="auto"/>
        <w:left w:val="none" w:sz="0" w:space="0" w:color="auto"/>
        <w:bottom w:val="none" w:sz="0" w:space="0" w:color="auto"/>
        <w:right w:val="none" w:sz="0" w:space="0" w:color="auto"/>
      </w:divBdr>
    </w:div>
    <w:div w:id="1036655909">
      <w:bodyDiv w:val="1"/>
      <w:marLeft w:val="0"/>
      <w:marRight w:val="0"/>
      <w:marTop w:val="0"/>
      <w:marBottom w:val="0"/>
      <w:divBdr>
        <w:top w:val="none" w:sz="0" w:space="0" w:color="auto"/>
        <w:left w:val="none" w:sz="0" w:space="0" w:color="auto"/>
        <w:bottom w:val="none" w:sz="0" w:space="0" w:color="auto"/>
        <w:right w:val="none" w:sz="0" w:space="0" w:color="auto"/>
      </w:divBdr>
    </w:div>
    <w:div w:id="1331638975">
      <w:bodyDiv w:val="1"/>
      <w:marLeft w:val="0"/>
      <w:marRight w:val="0"/>
      <w:marTop w:val="0"/>
      <w:marBottom w:val="0"/>
      <w:divBdr>
        <w:top w:val="none" w:sz="0" w:space="0" w:color="auto"/>
        <w:left w:val="none" w:sz="0" w:space="0" w:color="auto"/>
        <w:bottom w:val="none" w:sz="0" w:space="0" w:color="auto"/>
        <w:right w:val="none" w:sz="0" w:space="0" w:color="auto"/>
      </w:divBdr>
    </w:div>
    <w:div w:id="1409158602">
      <w:bodyDiv w:val="1"/>
      <w:marLeft w:val="0"/>
      <w:marRight w:val="0"/>
      <w:marTop w:val="0"/>
      <w:marBottom w:val="0"/>
      <w:divBdr>
        <w:top w:val="none" w:sz="0" w:space="0" w:color="auto"/>
        <w:left w:val="none" w:sz="0" w:space="0" w:color="auto"/>
        <w:bottom w:val="none" w:sz="0" w:space="0" w:color="auto"/>
        <w:right w:val="none" w:sz="0" w:space="0" w:color="auto"/>
      </w:divBdr>
    </w:div>
    <w:div w:id="1561746337">
      <w:bodyDiv w:val="1"/>
      <w:marLeft w:val="0"/>
      <w:marRight w:val="0"/>
      <w:marTop w:val="0"/>
      <w:marBottom w:val="0"/>
      <w:divBdr>
        <w:top w:val="none" w:sz="0" w:space="0" w:color="auto"/>
        <w:left w:val="none" w:sz="0" w:space="0" w:color="auto"/>
        <w:bottom w:val="none" w:sz="0" w:space="0" w:color="auto"/>
        <w:right w:val="none" w:sz="0" w:space="0" w:color="auto"/>
      </w:divBdr>
    </w:div>
    <w:div w:id="1588229215">
      <w:bodyDiv w:val="1"/>
      <w:marLeft w:val="0"/>
      <w:marRight w:val="0"/>
      <w:marTop w:val="0"/>
      <w:marBottom w:val="0"/>
      <w:divBdr>
        <w:top w:val="none" w:sz="0" w:space="0" w:color="auto"/>
        <w:left w:val="none" w:sz="0" w:space="0" w:color="auto"/>
        <w:bottom w:val="none" w:sz="0" w:space="0" w:color="auto"/>
        <w:right w:val="none" w:sz="0" w:space="0" w:color="auto"/>
      </w:divBdr>
    </w:div>
    <w:div w:id="1610702975">
      <w:bodyDiv w:val="1"/>
      <w:marLeft w:val="0"/>
      <w:marRight w:val="0"/>
      <w:marTop w:val="0"/>
      <w:marBottom w:val="0"/>
      <w:divBdr>
        <w:top w:val="none" w:sz="0" w:space="0" w:color="auto"/>
        <w:left w:val="none" w:sz="0" w:space="0" w:color="auto"/>
        <w:bottom w:val="none" w:sz="0" w:space="0" w:color="auto"/>
        <w:right w:val="none" w:sz="0" w:space="0" w:color="auto"/>
      </w:divBdr>
    </w:div>
    <w:div w:id="1700012297">
      <w:bodyDiv w:val="1"/>
      <w:marLeft w:val="0"/>
      <w:marRight w:val="0"/>
      <w:marTop w:val="0"/>
      <w:marBottom w:val="0"/>
      <w:divBdr>
        <w:top w:val="none" w:sz="0" w:space="0" w:color="auto"/>
        <w:left w:val="none" w:sz="0" w:space="0" w:color="auto"/>
        <w:bottom w:val="none" w:sz="0" w:space="0" w:color="auto"/>
        <w:right w:val="none" w:sz="0" w:space="0" w:color="auto"/>
      </w:divBdr>
    </w:div>
    <w:div w:id="1742676561">
      <w:bodyDiv w:val="1"/>
      <w:marLeft w:val="0"/>
      <w:marRight w:val="0"/>
      <w:marTop w:val="0"/>
      <w:marBottom w:val="0"/>
      <w:divBdr>
        <w:top w:val="none" w:sz="0" w:space="0" w:color="auto"/>
        <w:left w:val="none" w:sz="0" w:space="0" w:color="auto"/>
        <w:bottom w:val="none" w:sz="0" w:space="0" w:color="auto"/>
        <w:right w:val="none" w:sz="0" w:space="0" w:color="auto"/>
      </w:divBdr>
    </w:div>
    <w:div w:id="1753966252">
      <w:bodyDiv w:val="1"/>
      <w:marLeft w:val="0"/>
      <w:marRight w:val="0"/>
      <w:marTop w:val="0"/>
      <w:marBottom w:val="0"/>
      <w:divBdr>
        <w:top w:val="none" w:sz="0" w:space="0" w:color="auto"/>
        <w:left w:val="none" w:sz="0" w:space="0" w:color="auto"/>
        <w:bottom w:val="none" w:sz="0" w:space="0" w:color="auto"/>
        <w:right w:val="none" w:sz="0" w:space="0" w:color="auto"/>
      </w:divBdr>
    </w:div>
    <w:div w:id="1922712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chart" Target="charts/chart7.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chart" Target="charts/chart6.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chart" Target="charts/chart5.xml"/><Relationship Id="rId28"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3.xml"/><Relationship Id="rId22" Type="http://schemas.openxmlformats.org/officeDocument/2006/relationships/footer" Target="footer3.xm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un.org/sustainabledevelopment/es/cit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Participación</c:v>
                </c:pt>
              </c:strCache>
            </c:strRef>
          </c:tx>
          <c:spPr>
            <a:solidFill>
              <a:srgbClr val="0070C0"/>
            </a:solidFill>
            <a:ln>
              <a:noFill/>
            </a:ln>
            <a:effectLst/>
          </c:spPr>
          <c:invertIfNegative val="0"/>
          <c:cat>
            <c:numRef>
              <c:f>Hoja1!$A$2:$A$17</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Hoja1!$B$2:$B$17</c:f>
              <c:numCache>
                <c:formatCode>0.0%</c:formatCode>
                <c:ptCount val="16"/>
                <c:pt idx="0">
                  <c:v>4.0242518791660756E-2</c:v>
                </c:pt>
                <c:pt idx="1">
                  <c:v>1.6639163916391638E-2</c:v>
                </c:pt>
                <c:pt idx="2">
                  <c:v>1.1364062558601808E-2</c:v>
                </c:pt>
                <c:pt idx="3">
                  <c:v>6.6816887303226616E-2</c:v>
                </c:pt>
                <c:pt idx="4">
                  <c:v>5.3664384642079691E-2</c:v>
                </c:pt>
                <c:pt idx="5">
                  <c:v>2.9348970935694156E-2</c:v>
                </c:pt>
                <c:pt idx="6">
                  <c:v>0.10014065662629935</c:v>
                </c:pt>
                <c:pt idx="7">
                  <c:v>5.5525965379494009E-2</c:v>
                </c:pt>
                <c:pt idx="8">
                  <c:v>2.4012208789374538E-2</c:v>
                </c:pt>
                <c:pt idx="9">
                  <c:v>4.0389682429621411E-2</c:v>
                </c:pt>
                <c:pt idx="10">
                  <c:v>7.1112394149345656E-2</c:v>
                </c:pt>
                <c:pt idx="11">
                  <c:v>4.2742555763102957E-2</c:v>
                </c:pt>
                <c:pt idx="12">
                  <c:v>2.6684592194247535E-2</c:v>
                </c:pt>
                <c:pt idx="13">
                  <c:v>0.10441884205920957</c:v>
                </c:pt>
                <c:pt idx="14">
                  <c:v>6.6103959809875004E-2</c:v>
                </c:pt>
                <c:pt idx="15">
                  <c:v>0.14138674884437596</c:v>
                </c:pt>
              </c:numCache>
            </c:numRef>
          </c:val>
          <c:extLst>
            <c:ext xmlns:c16="http://schemas.microsoft.com/office/drawing/2014/chart" uri="{C3380CC4-5D6E-409C-BE32-E72D297353CC}">
              <c16:uniqueId val="{00000000-D436-4556-B06C-DD1634290578}"/>
            </c:ext>
          </c:extLst>
        </c:ser>
        <c:dLbls>
          <c:showLegendKey val="0"/>
          <c:showVal val="0"/>
          <c:showCatName val="0"/>
          <c:showSerName val="0"/>
          <c:showPercent val="0"/>
          <c:showBubbleSize val="0"/>
        </c:dLbls>
        <c:gapWidth val="80"/>
        <c:axId val="762889087"/>
        <c:axId val="762867967"/>
      </c:barChart>
      <c:lineChart>
        <c:grouping val="standard"/>
        <c:varyColors val="0"/>
        <c:ser>
          <c:idx val="1"/>
          <c:order val="1"/>
          <c:tx>
            <c:strRef>
              <c:f>Hoja1!$C$1</c:f>
              <c:strCache>
                <c:ptCount val="1"/>
                <c:pt idx="0">
                  <c:v>Promedio 2008-2013</c:v>
                </c:pt>
              </c:strCache>
            </c:strRef>
          </c:tx>
          <c:spPr>
            <a:ln w="12700" cap="rnd">
              <a:solidFill>
                <a:srgbClr val="C00000"/>
              </a:solidFill>
              <a:prstDash val="dash"/>
              <a:round/>
            </a:ln>
            <a:effectLst/>
          </c:spPr>
          <c:marker>
            <c:symbol val="none"/>
          </c:marker>
          <c:dLbls>
            <c:dLbl>
              <c:idx val="9"/>
              <c:layout>
                <c:manualLayout>
                  <c:x val="-6.6949806949807095E-2"/>
                  <c:y val="-7.901751087084268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436-4556-B06C-DD1634290578}"/>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CO"/>
              </a:p>
            </c:txPr>
            <c:dLblPos val="t"/>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Hoja1!$A$2:$A$17</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Hoja1!$C$2:$C$17</c:f>
              <c:numCache>
                <c:formatCode>0.0%</c:formatCode>
                <c:ptCount val="16"/>
                <c:pt idx="0">
                  <c:v>5.5662099637037547E-2</c:v>
                </c:pt>
                <c:pt idx="1">
                  <c:v>5.5662099637037547E-2</c:v>
                </c:pt>
                <c:pt idx="2">
                  <c:v>5.5662099637037547E-2</c:v>
                </c:pt>
                <c:pt idx="3">
                  <c:v>5.5662099637037547E-2</c:v>
                </c:pt>
                <c:pt idx="4">
                  <c:v>5.5662099637037547E-2</c:v>
                </c:pt>
                <c:pt idx="5">
                  <c:v>5.5662099637037547E-2</c:v>
                </c:pt>
                <c:pt idx="6">
                  <c:v>5.5662099637037547E-2</c:v>
                </c:pt>
                <c:pt idx="7">
                  <c:v>5.5662099637037547E-2</c:v>
                </c:pt>
                <c:pt idx="8">
                  <c:v>5.5662099637037547E-2</c:v>
                </c:pt>
                <c:pt idx="9">
                  <c:v>5.5662099637037547E-2</c:v>
                </c:pt>
                <c:pt idx="10">
                  <c:v>5.5662099637037547E-2</c:v>
                </c:pt>
                <c:pt idx="11">
                  <c:v>5.5662099637037547E-2</c:v>
                </c:pt>
                <c:pt idx="12">
                  <c:v>5.5662099637037547E-2</c:v>
                </c:pt>
                <c:pt idx="13">
                  <c:v>5.5662099637037547E-2</c:v>
                </c:pt>
                <c:pt idx="14">
                  <c:v>5.5662099637037547E-2</c:v>
                </c:pt>
                <c:pt idx="15">
                  <c:v>5.5662099637037547E-2</c:v>
                </c:pt>
              </c:numCache>
            </c:numRef>
          </c:val>
          <c:smooth val="0"/>
          <c:extLst>
            <c:ext xmlns:c16="http://schemas.microsoft.com/office/drawing/2014/chart" uri="{C3380CC4-5D6E-409C-BE32-E72D297353CC}">
              <c16:uniqueId val="{00000002-D436-4556-B06C-DD1634290578}"/>
            </c:ext>
          </c:extLst>
        </c:ser>
        <c:dLbls>
          <c:showLegendKey val="0"/>
          <c:showVal val="0"/>
          <c:showCatName val="0"/>
          <c:showSerName val="0"/>
          <c:showPercent val="0"/>
          <c:showBubbleSize val="0"/>
        </c:dLbls>
        <c:marker val="1"/>
        <c:smooth val="0"/>
        <c:axId val="762889087"/>
        <c:axId val="762867967"/>
      </c:lineChart>
      <c:catAx>
        <c:axId val="7628890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762867967"/>
        <c:crosses val="autoZero"/>
        <c:auto val="1"/>
        <c:lblAlgn val="ctr"/>
        <c:lblOffset val="100"/>
        <c:noMultiLvlLbl val="0"/>
      </c:catAx>
      <c:valAx>
        <c:axId val="762867967"/>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76288908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Participación</c:v>
                </c:pt>
              </c:strCache>
            </c:strRef>
          </c:tx>
          <c:spPr>
            <a:solidFill>
              <a:srgbClr val="0070C0"/>
            </a:solidFill>
            <a:ln>
              <a:noFill/>
            </a:ln>
            <a:effectLst/>
          </c:spPr>
          <c:invertIfNegative val="0"/>
          <c:cat>
            <c:numRef>
              <c:f>Hoja1!$A$2:$A$17</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Hoja1!$B$2:$B$17</c:f>
              <c:numCache>
                <c:formatCode>_-* #,##0_-;\-* #,##0_-;_-* "-"??_-;_-@_-</c:formatCode>
                <c:ptCount val="16"/>
                <c:pt idx="0">
                  <c:v>1135</c:v>
                </c:pt>
                <c:pt idx="1">
                  <c:v>363</c:v>
                </c:pt>
                <c:pt idx="2">
                  <c:v>303</c:v>
                </c:pt>
                <c:pt idx="3">
                  <c:v>2135</c:v>
                </c:pt>
                <c:pt idx="4">
                  <c:v>1701</c:v>
                </c:pt>
                <c:pt idx="5">
                  <c:v>1031</c:v>
                </c:pt>
                <c:pt idx="6">
                  <c:v>2919</c:v>
                </c:pt>
                <c:pt idx="7">
                  <c:v>1668</c:v>
                </c:pt>
                <c:pt idx="8">
                  <c:v>1007</c:v>
                </c:pt>
                <c:pt idx="9">
                  <c:v>1165</c:v>
                </c:pt>
                <c:pt idx="10">
                  <c:v>1478</c:v>
                </c:pt>
                <c:pt idx="11">
                  <c:v>1556</c:v>
                </c:pt>
                <c:pt idx="12">
                  <c:v>655</c:v>
                </c:pt>
                <c:pt idx="13">
                  <c:v>2148</c:v>
                </c:pt>
                <c:pt idx="14">
                  <c:v>3908</c:v>
                </c:pt>
                <c:pt idx="15">
                  <c:v>4588</c:v>
                </c:pt>
              </c:numCache>
            </c:numRef>
          </c:val>
          <c:extLst>
            <c:ext xmlns:c16="http://schemas.microsoft.com/office/drawing/2014/chart" uri="{C3380CC4-5D6E-409C-BE32-E72D297353CC}">
              <c16:uniqueId val="{00000000-69C2-4C5E-B082-7F492BCB66E5}"/>
            </c:ext>
          </c:extLst>
        </c:ser>
        <c:dLbls>
          <c:showLegendKey val="0"/>
          <c:showVal val="0"/>
          <c:showCatName val="0"/>
          <c:showSerName val="0"/>
          <c:showPercent val="0"/>
          <c:showBubbleSize val="0"/>
        </c:dLbls>
        <c:gapWidth val="80"/>
        <c:axId val="762889087"/>
        <c:axId val="762867967"/>
      </c:barChart>
      <c:lineChart>
        <c:grouping val="standard"/>
        <c:varyColors val="0"/>
        <c:ser>
          <c:idx val="1"/>
          <c:order val="1"/>
          <c:tx>
            <c:strRef>
              <c:f>Hoja1!$C$1</c:f>
              <c:strCache>
                <c:ptCount val="1"/>
                <c:pt idx="0">
                  <c:v>Promedio 2008-2013</c:v>
                </c:pt>
              </c:strCache>
            </c:strRef>
          </c:tx>
          <c:spPr>
            <a:ln w="12700" cap="rnd">
              <a:solidFill>
                <a:srgbClr val="C00000"/>
              </a:solidFill>
              <a:prstDash val="dash"/>
              <a:round/>
            </a:ln>
            <a:effectLst/>
          </c:spPr>
          <c:marker>
            <c:symbol val="none"/>
          </c:marker>
          <c:dLbls>
            <c:dLbl>
              <c:idx val="9"/>
              <c:layout/>
              <c:dLblPos val="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9C2-4C5E-B082-7F492BCB66E5}"/>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CO"/>
              </a:p>
            </c:txPr>
            <c:dLblPos val="t"/>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Hoja1!$A$2:$A$17</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Hoja1!$C$2:$C$17</c:f>
              <c:numCache>
                <c:formatCode>_-* #,##0_-;\-* #,##0_-;_-* "-"??_-;_-@_-</c:formatCode>
                <c:ptCount val="16"/>
                <c:pt idx="0">
                  <c:v>1735</c:v>
                </c:pt>
                <c:pt idx="1">
                  <c:v>1735</c:v>
                </c:pt>
                <c:pt idx="2">
                  <c:v>1735</c:v>
                </c:pt>
                <c:pt idx="3">
                  <c:v>1735</c:v>
                </c:pt>
                <c:pt idx="4">
                  <c:v>1735</c:v>
                </c:pt>
                <c:pt idx="5">
                  <c:v>1735</c:v>
                </c:pt>
                <c:pt idx="6">
                  <c:v>1735</c:v>
                </c:pt>
                <c:pt idx="7">
                  <c:v>1735</c:v>
                </c:pt>
                <c:pt idx="8">
                  <c:v>1735</c:v>
                </c:pt>
                <c:pt idx="9">
                  <c:v>1735</c:v>
                </c:pt>
                <c:pt idx="10">
                  <c:v>1735</c:v>
                </c:pt>
                <c:pt idx="11">
                  <c:v>1735</c:v>
                </c:pt>
                <c:pt idx="12">
                  <c:v>1735</c:v>
                </c:pt>
                <c:pt idx="13">
                  <c:v>1735</c:v>
                </c:pt>
                <c:pt idx="14">
                  <c:v>1735</c:v>
                </c:pt>
                <c:pt idx="15">
                  <c:v>1735</c:v>
                </c:pt>
              </c:numCache>
            </c:numRef>
          </c:val>
          <c:smooth val="0"/>
          <c:extLst>
            <c:ext xmlns:c16="http://schemas.microsoft.com/office/drawing/2014/chart" uri="{C3380CC4-5D6E-409C-BE32-E72D297353CC}">
              <c16:uniqueId val="{00000002-69C2-4C5E-B082-7F492BCB66E5}"/>
            </c:ext>
          </c:extLst>
        </c:ser>
        <c:dLbls>
          <c:showLegendKey val="0"/>
          <c:showVal val="0"/>
          <c:showCatName val="0"/>
          <c:showSerName val="0"/>
          <c:showPercent val="0"/>
          <c:showBubbleSize val="0"/>
        </c:dLbls>
        <c:marker val="1"/>
        <c:smooth val="0"/>
        <c:axId val="762889087"/>
        <c:axId val="762867967"/>
      </c:lineChart>
      <c:catAx>
        <c:axId val="7628890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762867967"/>
        <c:crosses val="autoZero"/>
        <c:auto val="1"/>
        <c:lblAlgn val="ctr"/>
        <c:lblOffset val="100"/>
        <c:noMultiLvlLbl val="0"/>
      </c:catAx>
      <c:valAx>
        <c:axId val="762867967"/>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76288908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es-C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Hoja1!$B$1</c:f>
              <c:strCache>
                <c:ptCount val="1"/>
                <c:pt idx="0">
                  <c:v>Arriendo (%)</c:v>
                </c:pt>
              </c:strCache>
            </c:strRef>
          </c:tx>
          <c:spPr>
            <a:ln w="28575" cap="rnd">
              <a:solidFill>
                <a:schemeClr val="accent1"/>
              </a:solidFill>
              <a:round/>
            </a:ln>
            <a:effectLst/>
          </c:spPr>
          <c:marker>
            <c:symbol val="circle"/>
            <c:size val="7"/>
            <c:spPr>
              <a:solidFill>
                <a:schemeClr val="accent1"/>
              </a:solidFill>
              <a:ln w="9525">
                <a:solidFill>
                  <a:schemeClr val="accent1"/>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2018</c:v>
                </c:pt>
                <c:pt idx="1">
                  <c:v>2019</c:v>
                </c:pt>
                <c:pt idx="2">
                  <c:v>2020</c:v>
                </c:pt>
                <c:pt idx="3">
                  <c:v>2021</c:v>
                </c:pt>
                <c:pt idx="4">
                  <c:v>2022</c:v>
                </c:pt>
                <c:pt idx="5">
                  <c:v>2023</c:v>
                </c:pt>
              </c:strCache>
            </c:strRef>
          </c:cat>
          <c:val>
            <c:numRef>
              <c:f>Hoja1!$B$2:$B$7</c:f>
              <c:numCache>
                <c:formatCode>General</c:formatCode>
                <c:ptCount val="6"/>
                <c:pt idx="0">
                  <c:v>43.5</c:v>
                </c:pt>
                <c:pt idx="1">
                  <c:v>50.8</c:v>
                </c:pt>
                <c:pt idx="2">
                  <c:v>49.4</c:v>
                </c:pt>
                <c:pt idx="3">
                  <c:v>48.6</c:v>
                </c:pt>
                <c:pt idx="4">
                  <c:v>52.7</c:v>
                </c:pt>
                <c:pt idx="5">
                  <c:v>51.6</c:v>
                </c:pt>
              </c:numCache>
            </c:numRef>
          </c:val>
          <c:smooth val="0"/>
          <c:extLst>
            <c:ext xmlns:c16="http://schemas.microsoft.com/office/drawing/2014/chart" uri="{C3380CC4-5D6E-409C-BE32-E72D297353CC}">
              <c16:uniqueId val="{00000000-8BB3-4E75-A6CC-09B8A9F27717}"/>
            </c:ext>
          </c:extLst>
        </c:ser>
        <c:ser>
          <c:idx val="1"/>
          <c:order val="1"/>
          <c:tx>
            <c:strRef>
              <c:f>Hoja1!$C$1</c:f>
              <c:strCache>
                <c:ptCount val="1"/>
                <c:pt idx="0">
                  <c:v>Propia (%)*</c:v>
                </c:pt>
              </c:strCache>
            </c:strRef>
          </c:tx>
          <c:spPr>
            <a:ln w="28575" cap="rnd">
              <a:solidFill>
                <a:schemeClr val="accent6"/>
              </a:solidFill>
              <a:round/>
            </a:ln>
            <a:effectLst/>
          </c:spPr>
          <c:marker>
            <c:symbol val="circle"/>
            <c:size val="7"/>
            <c:spPr>
              <a:solidFill>
                <a:schemeClr val="accent6"/>
              </a:solidFill>
              <a:ln w="9525">
                <a:solidFill>
                  <a:schemeClr val="accent6"/>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2018</c:v>
                </c:pt>
                <c:pt idx="1">
                  <c:v>2019</c:v>
                </c:pt>
                <c:pt idx="2">
                  <c:v>2020</c:v>
                </c:pt>
                <c:pt idx="3">
                  <c:v>2021</c:v>
                </c:pt>
                <c:pt idx="4">
                  <c:v>2022</c:v>
                </c:pt>
                <c:pt idx="5">
                  <c:v>2023</c:v>
                </c:pt>
              </c:strCache>
            </c:strRef>
          </c:cat>
          <c:val>
            <c:numRef>
              <c:f>Hoja1!$C$2:$C$7</c:f>
              <c:numCache>
                <c:formatCode>General</c:formatCode>
                <c:ptCount val="6"/>
                <c:pt idx="0">
                  <c:v>49.3</c:v>
                </c:pt>
                <c:pt idx="1">
                  <c:v>41.4</c:v>
                </c:pt>
                <c:pt idx="2">
                  <c:v>41.2</c:v>
                </c:pt>
                <c:pt idx="3">
                  <c:v>40.6</c:v>
                </c:pt>
                <c:pt idx="4">
                  <c:v>38.700000000000003</c:v>
                </c:pt>
                <c:pt idx="5">
                  <c:v>38.700000000000003</c:v>
                </c:pt>
              </c:numCache>
            </c:numRef>
          </c:val>
          <c:smooth val="0"/>
          <c:extLst>
            <c:ext xmlns:c16="http://schemas.microsoft.com/office/drawing/2014/chart" uri="{C3380CC4-5D6E-409C-BE32-E72D297353CC}">
              <c16:uniqueId val="{00000001-8BB3-4E75-A6CC-09B8A9F27717}"/>
            </c:ext>
          </c:extLst>
        </c:ser>
        <c:dLbls>
          <c:showLegendKey val="0"/>
          <c:showVal val="0"/>
          <c:showCatName val="0"/>
          <c:showSerName val="0"/>
          <c:showPercent val="0"/>
          <c:showBubbleSize val="0"/>
        </c:dLbls>
        <c:marker val="1"/>
        <c:smooth val="0"/>
        <c:axId val="1258450287"/>
        <c:axId val="1258443087"/>
      </c:lineChart>
      <c:catAx>
        <c:axId val="12584502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1258443087"/>
        <c:crosses val="autoZero"/>
        <c:auto val="1"/>
        <c:lblAlgn val="ctr"/>
        <c:lblOffset val="100"/>
        <c:noMultiLvlLbl val="0"/>
      </c:catAx>
      <c:valAx>
        <c:axId val="1258443087"/>
        <c:scaling>
          <c:orientation val="minMax"/>
          <c:min val="30"/>
        </c:scaling>
        <c:delete val="0"/>
        <c:axPos val="l"/>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CO"/>
                  <a:t>% de hogares</a:t>
                </a:r>
              </a:p>
            </c:rich>
          </c:tx>
          <c:layout>
            <c:manualLayout>
              <c:xMode val="edge"/>
              <c:yMode val="edge"/>
              <c:x val="2.0477815699658702E-2"/>
              <c:y val="0.24081834919888745"/>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125845028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900">
          <a:latin typeface="Arial" panose="020B0604020202020204" pitchFamily="34" charset="0"/>
          <a:cs typeface="Arial" panose="020B0604020202020204" pitchFamily="34" charset="0"/>
        </a:defRPr>
      </a:pPr>
      <a:endParaRPr lang="es-CO"/>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097645527533281"/>
          <c:y val="0.13374517374517375"/>
          <c:w val="0.85301699807982267"/>
          <c:h val="0.60658985194418269"/>
        </c:manualLayout>
      </c:layout>
      <c:barChart>
        <c:barDir val="col"/>
        <c:grouping val="clustered"/>
        <c:varyColors val="0"/>
        <c:ser>
          <c:idx val="0"/>
          <c:order val="0"/>
          <c:tx>
            <c:strRef>
              <c:f>Hoja1!$B$1</c:f>
              <c:strCache>
                <c:ptCount val="1"/>
                <c:pt idx="0">
                  <c:v>TIR</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Dosis" pitchFamily="2" charset="0"/>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Hoja1!$A$2:$A$5</c:f>
              <c:strCache>
                <c:ptCount val="4"/>
                <c:pt idx="0">
                  <c:v>Oficinas</c:v>
                </c:pt>
                <c:pt idx="1">
                  <c:v>Comercio</c:v>
                </c:pt>
                <c:pt idx="2">
                  <c:v>Industria</c:v>
                </c:pt>
                <c:pt idx="3">
                  <c:v>Vivienda en renta</c:v>
                </c:pt>
              </c:strCache>
            </c:strRef>
          </c:cat>
          <c:val>
            <c:numRef>
              <c:f>Hoja1!$B$2:$B$5</c:f>
              <c:numCache>
                <c:formatCode>0.0%</c:formatCode>
                <c:ptCount val="4"/>
                <c:pt idx="0">
                  <c:v>0.13700000000000001</c:v>
                </c:pt>
                <c:pt idx="1">
                  <c:v>0.13500000000000001</c:v>
                </c:pt>
                <c:pt idx="2">
                  <c:v>0.13400000000000001</c:v>
                </c:pt>
                <c:pt idx="3">
                  <c:v>0.14399999999999999</c:v>
                </c:pt>
              </c:numCache>
            </c:numRef>
          </c:val>
          <c:extLst>
            <c:ext xmlns:c16="http://schemas.microsoft.com/office/drawing/2014/chart" uri="{C3380CC4-5D6E-409C-BE32-E72D297353CC}">
              <c16:uniqueId val="{00000000-F7E9-43AB-BCA0-F2417905120C}"/>
            </c:ext>
          </c:extLst>
        </c:ser>
        <c:ser>
          <c:idx val="1"/>
          <c:order val="1"/>
          <c:tx>
            <c:strRef>
              <c:f>Hoja1!$C$1</c:f>
              <c:strCache>
                <c:ptCount val="1"/>
                <c:pt idx="0">
                  <c:v>CAP RATE</c:v>
                </c:pt>
              </c:strCache>
            </c:strRef>
          </c:tx>
          <c:spPr>
            <a:solidFill>
              <a:schemeClr val="tx2">
                <a:lumMod val="10000"/>
                <a:lumOff val="90000"/>
              </a:schemeClr>
            </a:solidFill>
            <a:ln>
              <a:noFill/>
            </a:ln>
            <a:effectLst/>
          </c:spPr>
          <c:invertIfNegative val="0"/>
          <c:dPt>
            <c:idx val="0"/>
            <c:invertIfNegative val="0"/>
            <c:bubble3D val="0"/>
            <c:spPr>
              <a:solidFill>
                <a:schemeClr val="accent1">
                  <a:lumMod val="20000"/>
                  <a:lumOff val="80000"/>
                </a:schemeClr>
              </a:solidFill>
              <a:ln>
                <a:noFill/>
              </a:ln>
              <a:effectLst/>
            </c:spPr>
            <c:extLst>
              <c:ext xmlns:c16="http://schemas.microsoft.com/office/drawing/2014/chart" uri="{C3380CC4-5D6E-409C-BE32-E72D297353CC}">
                <c16:uniqueId val="{00000002-F7E9-43AB-BCA0-F2417905120C}"/>
              </c:ext>
            </c:extLst>
          </c:dPt>
          <c:dPt>
            <c:idx val="1"/>
            <c:invertIfNegative val="0"/>
            <c:bubble3D val="0"/>
            <c:spPr>
              <a:solidFill>
                <a:schemeClr val="accent1">
                  <a:lumMod val="20000"/>
                  <a:lumOff val="80000"/>
                </a:schemeClr>
              </a:solidFill>
              <a:ln>
                <a:noFill/>
              </a:ln>
              <a:effectLst/>
            </c:spPr>
            <c:extLst>
              <c:ext xmlns:c16="http://schemas.microsoft.com/office/drawing/2014/chart" uri="{C3380CC4-5D6E-409C-BE32-E72D297353CC}">
                <c16:uniqueId val="{00000004-F7E9-43AB-BCA0-F2417905120C}"/>
              </c:ext>
            </c:extLst>
          </c:dPt>
          <c:dPt>
            <c:idx val="2"/>
            <c:invertIfNegative val="0"/>
            <c:bubble3D val="0"/>
            <c:spPr>
              <a:solidFill>
                <a:schemeClr val="accent1">
                  <a:lumMod val="20000"/>
                  <a:lumOff val="80000"/>
                </a:schemeClr>
              </a:solidFill>
              <a:ln>
                <a:noFill/>
              </a:ln>
              <a:effectLst/>
            </c:spPr>
            <c:extLst>
              <c:ext xmlns:c16="http://schemas.microsoft.com/office/drawing/2014/chart" uri="{C3380CC4-5D6E-409C-BE32-E72D297353CC}">
                <c16:uniqueId val="{00000006-F7E9-43AB-BCA0-F2417905120C}"/>
              </c:ext>
            </c:extLst>
          </c:dPt>
          <c:dPt>
            <c:idx val="3"/>
            <c:invertIfNegative val="0"/>
            <c:bubble3D val="0"/>
            <c:spPr>
              <a:solidFill>
                <a:schemeClr val="accent1">
                  <a:lumMod val="20000"/>
                  <a:lumOff val="80000"/>
                </a:schemeClr>
              </a:solidFill>
              <a:ln>
                <a:noFill/>
              </a:ln>
              <a:effectLst/>
            </c:spPr>
            <c:extLst>
              <c:ext xmlns:c16="http://schemas.microsoft.com/office/drawing/2014/chart" uri="{C3380CC4-5D6E-409C-BE32-E72D297353CC}">
                <c16:uniqueId val="{00000008-F7E9-43AB-BCA0-F2417905120C}"/>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Dosis" pitchFamily="2" charset="0"/>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Hoja1!$A$2:$A$5</c:f>
              <c:strCache>
                <c:ptCount val="4"/>
                <c:pt idx="0">
                  <c:v>Oficinas</c:v>
                </c:pt>
                <c:pt idx="1">
                  <c:v>Comercio</c:v>
                </c:pt>
                <c:pt idx="2">
                  <c:v>Industria</c:v>
                </c:pt>
                <c:pt idx="3">
                  <c:v>Vivienda en renta</c:v>
                </c:pt>
              </c:strCache>
            </c:strRef>
          </c:cat>
          <c:val>
            <c:numRef>
              <c:f>Hoja1!$C$2:$C$5</c:f>
              <c:numCache>
                <c:formatCode>0.0%</c:formatCode>
                <c:ptCount val="4"/>
                <c:pt idx="0">
                  <c:v>8.5999999999999993E-2</c:v>
                </c:pt>
                <c:pt idx="1">
                  <c:v>8.6999999999999994E-2</c:v>
                </c:pt>
                <c:pt idx="2">
                  <c:v>8.2000000000000003E-2</c:v>
                </c:pt>
                <c:pt idx="3">
                  <c:v>7.6999999999999999E-2</c:v>
                </c:pt>
              </c:numCache>
            </c:numRef>
          </c:val>
          <c:extLst>
            <c:ext xmlns:c16="http://schemas.microsoft.com/office/drawing/2014/chart" uri="{C3380CC4-5D6E-409C-BE32-E72D297353CC}">
              <c16:uniqueId val="{00000009-F7E9-43AB-BCA0-F2417905120C}"/>
            </c:ext>
          </c:extLst>
        </c:ser>
        <c:dLbls>
          <c:showLegendKey val="0"/>
          <c:showVal val="0"/>
          <c:showCatName val="0"/>
          <c:showSerName val="0"/>
          <c:showPercent val="0"/>
          <c:showBubbleSize val="0"/>
        </c:dLbls>
        <c:gapWidth val="100"/>
        <c:axId val="178251807"/>
        <c:axId val="178245087"/>
      </c:barChart>
      <c:catAx>
        <c:axId val="1782518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Dosis" pitchFamily="2" charset="0"/>
                <a:ea typeface="+mn-ea"/>
                <a:cs typeface="+mn-cs"/>
              </a:defRPr>
            </a:pPr>
            <a:endParaRPr lang="es-CO"/>
          </a:p>
        </c:txPr>
        <c:crossAx val="178245087"/>
        <c:crosses val="autoZero"/>
        <c:auto val="1"/>
        <c:lblAlgn val="ctr"/>
        <c:lblOffset val="100"/>
        <c:noMultiLvlLbl val="0"/>
      </c:catAx>
      <c:valAx>
        <c:axId val="178245087"/>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Dosis" pitchFamily="2" charset="0"/>
                <a:ea typeface="+mn-ea"/>
                <a:cs typeface="+mn-cs"/>
              </a:defRPr>
            </a:pPr>
            <a:endParaRPr lang="es-CO"/>
          </a:p>
        </c:txPr>
        <c:crossAx val="178251807"/>
        <c:crosses val="autoZero"/>
        <c:crossBetween val="between"/>
      </c:valAx>
      <c:spPr>
        <a:noFill/>
        <a:ln>
          <a:noFill/>
        </a:ln>
        <a:effectLst/>
      </c:spPr>
    </c:plotArea>
    <c:legend>
      <c:legendPos val="b"/>
      <c:layout>
        <c:manualLayout>
          <c:xMode val="edge"/>
          <c:yMode val="edge"/>
          <c:x val="0.31985205613619083"/>
          <c:y val="3.0783449366126585E-2"/>
          <c:w val="0.28828253669600629"/>
          <c:h val="0.1429617243790472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Dosis" pitchFamily="2" charset="0"/>
              <a:ea typeface="+mn-ea"/>
              <a:cs typeface="+mn-cs"/>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900">
          <a:latin typeface="Dosis" pitchFamily="2" charset="0"/>
        </a:defRPr>
      </a:pPr>
      <a:endParaRPr lang="es-C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Serie 1</c:v>
                </c:pt>
              </c:strCache>
            </c:strRef>
          </c:tx>
          <c:spPr>
            <a:solidFill>
              <a:srgbClr val="0070C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Hoja1!$A$2:$A$3</c:f>
              <c:numCache>
                <c:formatCode>General</c:formatCode>
                <c:ptCount val="2"/>
                <c:pt idx="0">
                  <c:v>2025</c:v>
                </c:pt>
                <c:pt idx="1">
                  <c:v>2034</c:v>
                </c:pt>
              </c:numCache>
            </c:numRef>
          </c:cat>
          <c:val>
            <c:numRef>
              <c:f>Hoja1!$B$2:$B$3</c:f>
              <c:numCache>
                <c:formatCode>_-* #,##0.0_-;\-* #,##0.0_-;_-* "-"??_-;_-@_-</c:formatCode>
                <c:ptCount val="2"/>
                <c:pt idx="0">
                  <c:v>3.1405989999999999</c:v>
                </c:pt>
                <c:pt idx="1">
                  <c:v>3.807318</c:v>
                </c:pt>
              </c:numCache>
            </c:numRef>
          </c:val>
          <c:extLst>
            <c:ext xmlns:c16="http://schemas.microsoft.com/office/drawing/2014/chart" uri="{C3380CC4-5D6E-409C-BE32-E72D297353CC}">
              <c16:uniqueId val="{00000000-0A84-4491-BB07-005591148F7A}"/>
            </c:ext>
          </c:extLst>
        </c:ser>
        <c:dLbls>
          <c:showLegendKey val="0"/>
          <c:showVal val="0"/>
          <c:showCatName val="0"/>
          <c:showSerName val="0"/>
          <c:showPercent val="0"/>
          <c:showBubbleSize val="0"/>
        </c:dLbls>
        <c:gapWidth val="100"/>
        <c:overlap val="-27"/>
        <c:axId val="1125360896"/>
        <c:axId val="1125355616"/>
      </c:barChart>
      <c:catAx>
        <c:axId val="1125360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1125355616"/>
        <c:crosses val="autoZero"/>
        <c:auto val="1"/>
        <c:lblAlgn val="ctr"/>
        <c:lblOffset val="100"/>
        <c:noMultiLvlLbl val="0"/>
      </c:catAx>
      <c:valAx>
        <c:axId val="1125355616"/>
        <c:scaling>
          <c:orientation val="minMax"/>
        </c:scaling>
        <c:delete val="0"/>
        <c:axPos val="l"/>
        <c:numFmt formatCode="_-* #,##0.0_-;\-* #,##0.0_-;_-* &quot;-&quot;??_-;_-@_-"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112536089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es-CO"/>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Iniciaciones</c:v>
                </c:pt>
              </c:strCache>
            </c:strRef>
          </c:tx>
          <c:spPr>
            <a:solidFill>
              <a:srgbClr val="002060"/>
            </a:solidFill>
            <a:ln>
              <a:noFill/>
            </a:ln>
            <a:effectLst/>
          </c:spPr>
          <c:invertIfNegative val="0"/>
          <c:cat>
            <c:numRef>
              <c:f>Hoja1!$A$2:$A$10</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Hoja1!$B$2:$B$10</c:f>
              <c:numCache>
                <c:formatCode>_-* #,##0_-;\-* #,##0_-;_-* "-"??_-;_-@_-</c:formatCode>
                <c:ptCount val="9"/>
                <c:pt idx="0">
                  <c:v>8733</c:v>
                </c:pt>
                <c:pt idx="1">
                  <c:v>14620</c:v>
                </c:pt>
                <c:pt idx="2">
                  <c:v>8587</c:v>
                </c:pt>
                <c:pt idx="3">
                  <c:v>9504</c:v>
                </c:pt>
                <c:pt idx="4">
                  <c:v>8953</c:v>
                </c:pt>
                <c:pt idx="5">
                  <c:v>19111</c:v>
                </c:pt>
                <c:pt idx="6">
                  <c:v>23366</c:v>
                </c:pt>
                <c:pt idx="7">
                  <c:v>29344</c:v>
                </c:pt>
                <c:pt idx="8">
                  <c:v>29553</c:v>
                </c:pt>
              </c:numCache>
            </c:numRef>
          </c:val>
          <c:extLst>
            <c:ext xmlns:c16="http://schemas.microsoft.com/office/drawing/2014/chart" uri="{C3380CC4-5D6E-409C-BE32-E72D297353CC}">
              <c16:uniqueId val="{00000000-AA57-465E-841F-CE53B0F054B3}"/>
            </c:ext>
          </c:extLst>
        </c:ser>
        <c:dLbls>
          <c:showLegendKey val="0"/>
          <c:showVal val="0"/>
          <c:showCatName val="0"/>
          <c:showSerName val="0"/>
          <c:showPercent val="0"/>
          <c:showBubbleSize val="0"/>
        </c:dLbls>
        <c:gapWidth val="80"/>
        <c:overlap val="-27"/>
        <c:axId val="965621328"/>
        <c:axId val="965631744"/>
      </c:barChart>
      <c:lineChart>
        <c:grouping val="standard"/>
        <c:varyColors val="0"/>
        <c:ser>
          <c:idx val="1"/>
          <c:order val="1"/>
          <c:tx>
            <c:strRef>
              <c:f>Hoja1!$C$1</c:f>
              <c:strCache>
                <c:ptCount val="1"/>
                <c:pt idx="0">
                  <c:v>Prom. 2021-2024</c:v>
                </c:pt>
              </c:strCache>
            </c:strRef>
          </c:tx>
          <c:spPr>
            <a:ln w="12700" cap="rnd">
              <a:solidFill>
                <a:srgbClr val="C00000"/>
              </a:solidFill>
              <a:prstDash val="dash"/>
              <a:round/>
            </a:ln>
            <a:effectLst/>
          </c:spPr>
          <c:marker>
            <c:symbol val="none"/>
          </c:marker>
          <c:dLbls>
            <c:dLbl>
              <c:idx val="6"/>
              <c:layout>
                <c:manualLayout>
                  <c:x val="-0.10526315789473684"/>
                  <c:y val="-4.724409448818900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A57-465E-841F-CE53B0F054B3}"/>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Arial" panose="020B0604020202020204" pitchFamily="34" charset="0"/>
                    <a:ea typeface="Calibri Light" panose="020F0302020204030204" pitchFamily="34" charset="0"/>
                    <a:cs typeface="Arial" panose="020B0604020202020204" pitchFamily="34" charset="0"/>
                  </a:defRPr>
                </a:pPr>
                <a:endParaRPr lang="es-CO"/>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Hoja1!$A$2:$A$10</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Hoja1!$C$2:$C$10</c:f>
              <c:numCache>
                <c:formatCode>General</c:formatCode>
                <c:ptCount val="9"/>
                <c:pt idx="5" formatCode="_-* #,##0_-;\-* #,##0_-;_-* &quot;-&quot;??_-;_-@_-">
                  <c:v>25343.5</c:v>
                </c:pt>
                <c:pt idx="6" formatCode="_-* #,##0_-;\-* #,##0_-;_-* &quot;-&quot;??_-;_-@_-">
                  <c:v>25343.5</c:v>
                </c:pt>
                <c:pt idx="7" formatCode="_-* #,##0_-;\-* #,##0_-;_-* &quot;-&quot;??_-;_-@_-">
                  <c:v>25343.5</c:v>
                </c:pt>
                <c:pt idx="8" formatCode="_-* #,##0_-;\-* #,##0_-;_-* &quot;-&quot;??_-;_-@_-">
                  <c:v>25343.5</c:v>
                </c:pt>
              </c:numCache>
            </c:numRef>
          </c:val>
          <c:smooth val="0"/>
          <c:extLst>
            <c:ext xmlns:c16="http://schemas.microsoft.com/office/drawing/2014/chart" uri="{C3380CC4-5D6E-409C-BE32-E72D297353CC}">
              <c16:uniqueId val="{00000002-AA57-465E-841F-CE53B0F054B3}"/>
            </c:ext>
          </c:extLst>
        </c:ser>
        <c:dLbls>
          <c:showLegendKey val="0"/>
          <c:showVal val="0"/>
          <c:showCatName val="0"/>
          <c:showSerName val="0"/>
          <c:showPercent val="0"/>
          <c:showBubbleSize val="0"/>
        </c:dLbls>
        <c:marker val="1"/>
        <c:smooth val="0"/>
        <c:axId val="965621328"/>
        <c:axId val="965631744"/>
      </c:lineChart>
      <c:catAx>
        <c:axId val="965621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Calibri Light" panose="020F0302020204030204" pitchFamily="34" charset="0"/>
                <a:cs typeface="Arial" panose="020B0604020202020204" pitchFamily="34" charset="0"/>
              </a:defRPr>
            </a:pPr>
            <a:endParaRPr lang="es-CO"/>
          </a:p>
        </c:txPr>
        <c:crossAx val="965631744"/>
        <c:crosses val="autoZero"/>
        <c:auto val="1"/>
        <c:lblAlgn val="ctr"/>
        <c:lblOffset val="100"/>
        <c:noMultiLvlLbl val="0"/>
      </c:catAx>
      <c:valAx>
        <c:axId val="965631744"/>
        <c:scaling>
          <c:orientation val="minMax"/>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Calibri Light" panose="020F0302020204030204" pitchFamily="34" charset="0"/>
                <a:cs typeface="Arial" panose="020B0604020202020204" pitchFamily="34" charset="0"/>
              </a:defRPr>
            </a:pPr>
            <a:endParaRPr lang="es-CO"/>
          </a:p>
        </c:txPr>
        <c:crossAx val="9656213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Calibri Light" panose="020F0302020204030204" pitchFamily="34" charset="0"/>
              <a:cs typeface="Arial" panose="020B0604020202020204" pitchFamily="34" charset="0"/>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800">
          <a:latin typeface="Arial" panose="020B0604020202020204" pitchFamily="34" charset="0"/>
          <a:ea typeface="Calibri Light" panose="020F0302020204030204" pitchFamily="34" charset="0"/>
          <a:cs typeface="Arial" panose="020B0604020202020204" pitchFamily="34" charset="0"/>
        </a:defRPr>
      </a:pPr>
      <a:endParaRPr lang="es-CO"/>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Part. Estrato &gt;=4</c:v>
                </c:pt>
              </c:strCache>
            </c:strRef>
          </c:tx>
          <c:spPr>
            <a:solidFill>
              <a:srgbClr val="0070C0"/>
            </a:solidFill>
            <a:ln>
              <a:noFill/>
            </a:ln>
            <a:effectLst/>
          </c:spPr>
          <c:invertIfNegative val="0"/>
          <c:dLbls>
            <c:dLbl>
              <c:idx val="16"/>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5B0-4D80-A6D3-4C7AEC87BD4C}"/>
                </c:ext>
              </c:extLst>
            </c:dLbl>
            <c:dLbl>
              <c:idx val="17"/>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5B0-4D80-A6D3-4C7AEC87BD4C}"/>
                </c:ext>
              </c:extLst>
            </c:dLbl>
            <c:dLbl>
              <c:idx val="18"/>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5B0-4D80-A6D3-4C7AEC87BD4C}"/>
                </c:ext>
              </c:extLst>
            </c:dLbl>
            <c:dLbl>
              <c:idx val="19"/>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5B0-4D80-A6D3-4C7AEC87BD4C}"/>
                </c:ext>
              </c:extLst>
            </c:dLbl>
            <c:spPr>
              <a:noFill/>
              <a:ln>
                <a:noFill/>
              </a:ln>
              <a:effectLst/>
            </c:spPr>
            <c:txPr>
              <a:bodyPr rot="-5400000" spcFirstLastPara="1" vertOverflow="ellipsis" wrap="square" anchor="ctr" anchorCtr="1"/>
              <a:lstStyle/>
              <a:p>
                <a:pPr>
                  <a:defRPr sz="800" b="1" i="0" u="none" strike="noStrike" kern="1200" baseline="0">
                    <a:solidFill>
                      <a:srgbClr val="0070C0"/>
                    </a:solidFill>
                    <a:latin typeface="Calibri Light" panose="020F0302020204030204" pitchFamily="34" charset="0"/>
                    <a:ea typeface="Calibri Light" panose="020F0302020204030204" pitchFamily="34" charset="0"/>
                    <a:cs typeface="Calibri Light" panose="020F0302020204030204" pitchFamily="34" charset="0"/>
                  </a:defRPr>
                </a:pPr>
                <a:endParaRPr lang="es-CO"/>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Hoja1!$A$2:$A$21</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Hoja1!$B$2:$B$21</c:f>
              <c:numCache>
                <c:formatCode>0.0%</c:formatCode>
                <c:ptCount val="20"/>
                <c:pt idx="0">
                  <c:v>1.0919679689395778E-2</c:v>
                </c:pt>
                <c:pt idx="1">
                  <c:v>4.2785565501322974E-2</c:v>
                </c:pt>
                <c:pt idx="2">
                  <c:v>6.7881548974943057E-2</c:v>
                </c:pt>
                <c:pt idx="3">
                  <c:v>2.8085685141108468E-2</c:v>
                </c:pt>
                <c:pt idx="4">
                  <c:v>1.9361084220716361E-4</c:v>
                </c:pt>
                <c:pt idx="5">
                  <c:v>1.4437242192103713E-2</c:v>
                </c:pt>
                <c:pt idx="6">
                  <c:v>1.0735634988410394E-2</c:v>
                </c:pt>
                <c:pt idx="7">
                  <c:v>2.7096599376778214E-3</c:v>
                </c:pt>
                <c:pt idx="8">
                  <c:v>2.9234067433248881E-3</c:v>
                </c:pt>
                <c:pt idx="9">
                  <c:v>7.6397731218891072E-3</c:v>
                </c:pt>
                <c:pt idx="10">
                  <c:v>7.438758496857766E-3</c:v>
                </c:pt>
                <c:pt idx="11">
                  <c:v>1.3094324287713911E-3</c:v>
                </c:pt>
                <c:pt idx="12">
                  <c:v>1.0669781931464175E-2</c:v>
                </c:pt>
                <c:pt idx="13">
                  <c:v>4.7794117647058827E-3</c:v>
                </c:pt>
                <c:pt idx="14">
                  <c:v>9.2517111435822502E-2</c:v>
                </c:pt>
                <c:pt idx="15">
                  <c:v>0.11239521849114627</c:v>
                </c:pt>
                <c:pt idx="16">
                  <c:v>0.21367269873964004</c:v>
                </c:pt>
                <c:pt idx="17">
                  <c:v>0.2821757952192735</c:v>
                </c:pt>
                <c:pt idx="18">
                  <c:v>0.20720594812164581</c:v>
                </c:pt>
                <c:pt idx="19">
                  <c:v>0.14426960033421529</c:v>
                </c:pt>
              </c:numCache>
            </c:numRef>
          </c:val>
          <c:extLst>
            <c:ext xmlns:c16="http://schemas.microsoft.com/office/drawing/2014/chart" uri="{C3380CC4-5D6E-409C-BE32-E72D297353CC}">
              <c16:uniqueId val="{00000004-75B0-4D80-A6D3-4C7AEC87BD4C}"/>
            </c:ext>
          </c:extLst>
        </c:ser>
        <c:dLbls>
          <c:showLegendKey val="0"/>
          <c:showVal val="0"/>
          <c:showCatName val="0"/>
          <c:showSerName val="0"/>
          <c:showPercent val="0"/>
          <c:showBubbleSize val="0"/>
        </c:dLbls>
        <c:gapWidth val="60"/>
        <c:overlap val="-27"/>
        <c:axId val="965646128"/>
        <c:axId val="965660016"/>
      </c:barChart>
      <c:catAx>
        <c:axId val="965646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Calibri Light" panose="020F0302020204030204" pitchFamily="34" charset="0"/>
                <a:ea typeface="Calibri Light" panose="020F0302020204030204" pitchFamily="34" charset="0"/>
                <a:cs typeface="Calibri Light" panose="020F0302020204030204" pitchFamily="34" charset="0"/>
              </a:defRPr>
            </a:pPr>
            <a:endParaRPr lang="es-CO"/>
          </a:p>
        </c:txPr>
        <c:crossAx val="965660016"/>
        <c:crosses val="autoZero"/>
        <c:auto val="1"/>
        <c:lblAlgn val="ctr"/>
        <c:lblOffset val="100"/>
        <c:noMultiLvlLbl val="0"/>
      </c:catAx>
      <c:valAx>
        <c:axId val="965660016"/>
        <c:scaling>
          <c:orientation val="minMax"/>
          <c:max val="0.35000000000000003"/>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Calibri Light" panose="020F0302020204030204" pitchFamily="34" charset="0"/>
                <a:ea typeface="Calibri Light" panose="020F0302020204030204" pitchFamily="34" charset="0"/>
                <a:cs typeface="Calibri Light" panose="020F0302020204030204" pitchFamily="34" charset="0"/>
              </a:defRPr>
            </a:pPr>
            <a:endParaRPr lang="es-CO"/>
          </a:p>
        </c:txPr>
        <c:crossAx val="965646128"/>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800">
          <a:latin typeface="Calibri Light" panose="020F0302020204030204" pitchFamily="34" charset="0"/>
          <a:ea typeface="Calibri Light" panose="020F0302020204030204" pitchFamily="34" charset="0"/>
          <a:cs typeface="Calibri Light" panose="020F0302020204030204" pitchFamily="34" charset="0"/>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7Sx05i69q24gqCoTKRqQZ2knQ==">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51EB2AE-8D9B-4911-9571-D7DE2C54C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8106</Words>
  <Characters>44583</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Miryam Naranjo</dc:creator>
  <cp:lastModifiedBy>MORRISON TARQUINO DAZA</cp:lastModifiedBy>
  <cp:revision>2</cp:revision>
  <cp:lastPrinted>2025-11-26T21:35:00Z</cp:lastPrinted>
  <dcterms:created xsi:type="dcterms:W3CDTF">2025-11-26T21:49:00Z</dcterms:created>
  <dcterms:modified xsi:type="dcterms:W3CDTF">2025-11-26T21:49:00Z</dcterms:modified>
</cp:coreProperties>
</file>